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7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>
        <w:trPr>
          <w:trHeight w:val="426"/>
        </w:trPr>
        <w:tblPrEx/>
        <w:tc>
          <w:tcPr>
            <w:tcW w:w="4506" w:type="dxa"/>
            <w:noWrap w:val="false"/>
            <w:textDirection w:val="lrTb"/>
          </w:tcPr>
          <w:p>
            <w:pPr>
              <w:rPr>
                <w:rFonts w:ascii="Inter V" w:hAnsi="Inter V" w:cs="Times New Roman"/>
                <w:b/>
                <w:sz w:val="28"/>
                <w:szCs w:val="28"/>
              </w:rPr>
            </w:pPr>
            <w:r>
              <w:rPr>
                <w:rFonts w:ascii="Inter V" w:hAnsi="Inter V" w:cs="Times New Roman"/>
                <w:b/>
                <w:sz w:val="28"/>
                <w:szCs w:val="28"/>
              </w:rPr>
            </w:r>
            <w:r>
              <w:rPr>
                <w:rFonts w:ascii="Inter V" w:hAnsi="Inter V" w:cs="Times New Roman"/>
                <w:b/>
                <w:sz w:val="28"/>
                <w:szCs w:val="28"/>
              </w:rPr>
            </w:r>
            <w:r>
              <w:rPr>
                <w:rFonts w:ascii="Inter V" w:hAnsi="Inter V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noWrap w:val="false"/>
            <w:textDirection w:val="lrTb"/>
          </w:tcPr>
          <w:p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rPr>
          <w:trHeight w:val="994"/>
        </w:trPr>
        <w:tblPrEx/>
        <w:tc>
          <w:tcPr>
            <w:tcW w:w="4506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26780" cy="942975"/>
                      <wp:effectExtent l="0" t="0" r="2540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81727" cy="9662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75.34pt;height:74.25pt;mso-wrap-distance-left:0.00pt;mso-wrap-distance-top:0.00pt;mso-wrap-distance-right:0.00pt;mso-wrap-distance-bottom:0.00pt;" stroked="f">
                      <v:path textboxrect="0,0,0,0"/>
                      <v:imagedata r:id="rId8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noWrap w:val="false"/>
            <w:textDirection w:val="lrTb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tabs>
          <w:tab w:val="left" w:pos="567" w:leader="none"/>
        </w:tabs>
        <w:spacing w:line="240" w:lineRule="auto"/>
        <w:jc w:val="right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 xml:space="preserve">11  августа 2025</w:t>
      </w:r>
      <w:r>
        <w:rPr>
          <w:rFonts w:ascii="Arial" w:hAnsi="Arial" w:cs="Arial"/>
          <w:color w:val="202122"/>
          <w:shd w:val="clear" w:color="auto" w:fill="ffffff"/>
        </w:rPr>
        <w:t xml:space="preserve"> года</w:t>
      </w: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</w:r>
    </w:p>
    <w:p>
      <w:pPr>
        <w:tabs>
          <w:tab w:val="left" w:pos="567" w:leader="none"/>
        </w:tabs>
        <w:spacing w:line="276" w:lineRule="auto"/>
        <w:jc w:val="both"/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</w:p>
    <w:p>
      <w:pPr>
        <w:spacing w:line="240" w:lineRule="auto"/>
        <w:ind w:left="30" w:right="30" w:hanging="3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highlight w:val="none"/>
        </w:rPr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</w:r>
    </w:p>
    <w:p>
      <w:pPr>
        <w:spacing w:line="240" w:lineRule="auto"/>
        <w:ind w:left="30" w:right="30" w:hanging="30"/>
        <w:jc w:val="both"/>
        <w:rPr>
          <w:rFonts w:ascii="Arial" w:hAnsi="Arial" w:cs="Arial"/>
          <w:b/>
          <w:bCs/>
          <w:sz w:val="24"/>
          <w:szCs w:val="24"/>
          <w:highlight w:val="none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</w:r>
      <w:r>
        <w:rPr>
          <w:rFonts w:ascii="Arial" w:hAnsi="Arial" w:cs="Arial"/>
          <w:b/>
          <w:bCs/>
          <w:sz w:val="24"/>
          <w:szCs w:val="24"/>
          <w:highlight w:val="none"/>
        </w:rPr>
        <w:t xml:space="preserve">Новое в законодательстве о банкротстве</w:t>
      </w:r>
      <w:r>
        <w:rPr>
          <w:rFonts w:ascii="Arial" w:hAnsi="Arial" w:cs="Arial"/>
          <w:b/>
          <w:bCs/>
          <w:sz w:val="24"/>
          <w:szCs w:val="24"/>
          <w:highlight w:val="none"/>
        </w:rPr>
      </w:r>
      <w:r>
        <w:rPr>
          <w:rFonts w:ascii="Arial" w:hAnsi="Arial" w:cs="Arial"/>
          <w:b/>
          <w:bCs/>
          <w:sz w:val="24"/>
          <w:szCs w:val="24"/>
          <w:highlight w:val="none"/>
        </w:rPr>
      </w:r>
    </w:p>
    <w:p>
      <w:pPr>
        <w:spacing w:line="240" w:lineRule="auto"/>
        <w:ind w:left="30" w:right="30" w:hanging="30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</w:r>
      <w:r>
        <w:rPr>
          <w:rFonts w:ascii="Arial" w:hAnsi="Arial" w:cs="Arial"/>
          <w:b/>
          <w:color w:val="000000"/>
          <w:sz w:val="24"/>
          <w:szCs w:val="24"/>
        </w:rPr>
      </w:r>
      <w:r>
        <w:rPr>
          <w:rFonts w:ascii="Arial" w:hAnsi="Arial" w:cs="Arial"/>
          <w:b/>
          <w:color w:val="000000"/>
          <w:sz w:val="24"/>
          <w:szCs w:val="24"/>
        </w:rPr>
      </w:r>
    </w:p>
    <w:p>
      <w:pPr>
        <w:contextualSpacing/>
        <w:jc w:val="both"/>
        <w:rPr>
          <w:rFonts w:ascii="Liberation Sans" w:hAnsi="Liberation Sans" w:eastAsia="Liberation Sans" w:cs="Liberation Sans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11 августа 2025 года вступили в силу изменения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 в Федеральный закон «О несостоятельности (банкротстве)»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. 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Согласно изменениям,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 не позднее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чем в течение десяти дней с даты вынесения судебного акта о завершении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процедуры, применявшейся в деле о банкротстве, арбитражный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управляющий включает в Единый федеральный реестр сведений о банкротстве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 сообщение о результатах соответствующей процедуры (отчет). 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</w:p>
    <w:p>
      <w:pPr>
        <w:contextualSpacing/>
        <w:jc w:val="both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contextualSpacing/>
        <w:jc w:val="both"/>
        <w:rPr>
          <w:rFonts w:ascii="Liberation Sans" w:hAnsi="Liberation Sans" w:eastAsia="Liberation Sans" w:cs="Liberation Sans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Как поясняет исполняющая обязанности начальника отдела по надзору (контролю) в сфере саморегулируемых организаций Управления Росреестра по Иркутской области Светлана Геннадьевна Богочова, ранее такое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сообщение подлежало включению арбитражным управляющим в Единый федеральный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реестр сведений о банкротстве не позднее чем в течение десяти дней с даты завершения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соответствующей процедуры. Указанными изменениями законодатель устранил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существующую ранее правовую неопределенность.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</w:p>
    <w:p>
      <w:pPr>
        <w:contextualSpacing/>
        <w:jc w:val="both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contextualSpacing/>
        <w:jc w:val="both"/>
        <w:rPr>
          <w:rFonts w:ascii="Liberation Sans" w:hAnsi="Liberation Sans" w:eastAsia="Liberation Sans" w:cs="Liberation Sans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Согласно внесенным поправкам, в сообщении, подлежащем включению в Единый федеральный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реестр сведений о банкротстве в соответствии с пунктом 7.2 статьи 16 Федерального закона «О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несостоятельности (банкротстве)», арбитражные управляющие обязаны будут указывать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сумму включенных требований (для сведений о включении требований в реестр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требований кредиторов).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</w:p>
    <w:p>
      <w:pPr>
        <w:contextualSpacing/>
        <w:jc w:val="both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contextualSpacing/>
        <w:jc w:val="both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Дополнительно на финансового управляющего возложена обязанность по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включению в Единый федеральный реестр сведений о банкротстве следующих сведений: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contextualSpacing/>
        <w:jc w:val="both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– о предъявлении кредитором своих требований к должнику, а также о включении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заявленных требований в реестр требований кредиторов;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contextualSpacing/>
        <w:jc w:val="both"/>
        <w:rPr>
          <w:rFonts w:ascii="Liberation Sans" w:hAnsi="Liberation Sans" w:eastAsia="Liberation Sans" w:cs="Liberation Sans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– о подаче в арбитражный суд заявления о признании сделки недействительной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по основаниям, указанным в настоящем Федеральном законе, о вынесении судебного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акта по результатам рассмотрения заявления и судебных актов о его пересмотре.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</w:p>
    <w:p>
      <w:pPr>
        <w:spacing w:line="276" w:lineRule="auto"/>
        <w:ind w:left="0" w:right="30" w:firstLine="0"/>
        <w:jc w:val="both"/>
        <w:rPr>
          <w:rFonts w:ascii="Arial" w:hAnsi="Arial" w:cs="Arial"/>
          <w:b w:val="0"/>
          <w:bCs w:val="0"/>
          <w:sz w:val="24"/>
          <w:szCs w:val="24"/>
          <w:highlight w:val="none"/>
        </w:rPr>
      </w:pPr>
      <w:r>
        <w:rPr>
          <w:rFonts w:ascii="Arial" w:hAnsi="Arial" w:cs="Arial"/>
          <w:b w:val="0"/>
          <w:bCs w:val="0"/>
          <w:sz w:val="24"/>
          <w:szCs w:val="24"/>
          <w:highlight w:val="none"/>
        </w:rPr>
      </w:r>
    </w:p>
    <w:p>
      <w:pPr>
        <w:spacing w:line="276" w:lineRule="auto"/>
        <w:ind w:left="0" w:right="30" w:firstLine="0"/>
        <w:jc w:val="both"/>
        <w:rPr>
          <w:rFonts w:ascii="Arial" w:hAnsi="Arial" w:cs="Arial"/>
          <w:b w:val="0"/>
          <w:bCs w:val="0"/>
          <w:sz w:val="24"/>
          <w:szCs w:val="24"/>
          <w:highlight w:val="none"/>
        </w:rPr>
      </w:pPr>
      <w:r>
        <w:rPr>
          <w:rFonts w:ascii="Arial" w:hAnsi="Arial" w:cs="Arial"/>
          <w:b w:val="0"/>
          <w:bCs w:val="0"/>
          <w:sz w:val="24"/>
          <w:szCs w:val="24"/>
          <w:highlight w:val="none"/>
        </w:rPr>
      </w:r>
      <w:r>
        <w:rPr>
          <w:rFonts w:ascii="Arial" w:hAnsi="Arial" w:cs="Arial"/>
          <w:b w:val="0"/>
          <w:bCs w:val="0"/>
          <w:sz w:val="24"/>
          <w:szCs w:val="24"/>
          <w:highlight w:val="none"/>
        </w:rPr>
      </w:r>
      <w:r>
        <w:rPr>
          <w:rFonts w:ascii="Arial" w:hAnsi="Arial" w:cs="Arial"/>
          <w:b w:val="0"/>
          <w:bCs w:val="0"/>
          <w:sz w:val="24"/>
          <w:szCs w:val="24"/>
          <w:highlight w:val="none"/>
        </w:rPr>
      </w:r>
    </w:p>
    <w:p>
      <w:pPr>
        <w:tabs>
          <w:tab w:val="left" w:pos="567" w:leader="none"/>
        </w:tabs>
        <w:spacing w:line="240" w:lineRule="auto"/>
        <w:jc w:val="both"/>
        <w:rPr>
          <w:rFonts w:ascii="Arial" w:hAnsi="Arial" w:cs="Arial"/>
          <w:i/>
          <w:color w:val="202122"/>
          <w:sz w:val="24"/>
          <w:szCs w:val="24"/>
          <w:shd w:val="clear" w:color="auto" w:fill="ffffff"/>
        </w:rPr>
      </w:pPr>
      <w:r>
        <w:rPr>
          <w:rFonts w:ascii="Arial" w:hAnsi="Arial" w:cs="Arial"/>
          <w:i/>
          <w:color w:val="202122"/>
          <w:sz w:val="24"/>
          <w:szCs w:val="24"/>
          <w:shd w:val="clear" w:color="auto" w:fill="ffffff"/>
        </w:rPr>
        <w:t xml:space="preserve">Пресс-служба Управления </w:t>
      </w:r>
      <w:r>
        <w:rPr>
          <w:rFonts w:ascii="Arial" w:hAnsi="Arial" w:cs="Arial"/>
          <w:i/>
          <w:color w:val="202122"/>
          <w:sz w:val="24"/>
          <w:szCs w:val="24"/>
          <w:shd w:val="clear" w:color="auto" w:fill="ffffff"/>
        </w:rPr>
        <w:t xml:space="preserve">Росреестра</w:t>
      </w:r>
      <w:r>
        <w:rPr>
          <w:rFonts w:ascii="Arial" w:hAnsi="Arial" w:cs="Arial"/>
          <w:i/>
          <w:color w:val="202122"/>
          <w:sz w:val="24"/>
          <w:szCs w:val="24"/>
          <w:shd w:val="clear" w:color="auto" w:fill="ffffff"/>
        </w:rPr>
        <w:t xml:space="preserve"> по Иркутской области</w:t>
      </w:r>
      <w:r>
        <w:rPr>
          <w:rFonts w:ascii="Arial" w:hAnsi="Arial" w:cs="Arial"/>
          <w:i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i/>
          <w:color w:val="202122"/>
          <w:sz w:val="24"/>
          <w:szCs w:val="24"/>
          <w:shd w:val="clear" w:color="auto" w:fill="ffffff"/>
        </w:rPr>
      </w:r>
    </w:p>
    <w:p>
      <w:pPr>
        <w:tabs>
          <w:tab w:val="left" w:pos="567" w:leader="none"/>
        </w:tabs>
        <w:spacing w:line="240" w:lineRule="auto"/>
        <w:jc w:val="both"/>
        <w:rPr>
          <w:rFonts w:ascii="Arial" w:hAnsi="Arial" w:cs="Arial"/>
          <w:bCs/>
          <w:i/>
          <w:color w:val="202122"/>
        </w:rPr>
      </w:pP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bCs/>
          <w:i/>
          <w:color w:val="202122"/>
        </w:rPr>
      </w:r>
      <w:r>
        <w:rPr>
          <w:rFonts w:ascii="Arial" w:hAnsi="Arial" w:cs="Arial"/>
          <w:bCs/>
          <w:i/>
          <w:color w:val="202122"/>
        </w:rPr>
      </w:r>
    </w:p>
    <w:sectPr>
      <w:footnotePr/>
      <w:endnotePr/>
      <w:type w:val="nextPage"/>
      <w:pgSz w:w="11906" w:h="16838" w:orient="portrait"/>
      <w:pgMar w:top="709" w:right="849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29"/>
    <w:next w:val="829"/>
    <w:link w:val="655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0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29"/>
    <w:next w:val="829"/>
    <w:link w:val="657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0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29"/>
    <w:next w:val="829"/>
    <w:link w:val="659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0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29"/>
    <w:next w:val="829"/>
    <w:link w:val="661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0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29"/>
    <w:next w:val="829"/>
    <w:link w:val="663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0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29"/>
    <w:next w:val="829"/>
    <w:link w:val="665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0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29"/>
    <w:next w:val="829"/>
    <w:link w:val="667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0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29"/>
    <w:next w:val="829"/>
    <w:link w:val="669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0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29"/>
    <w:next w:val="829"/>
    <w:link w:val="671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0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No Spacing"/>
    <w:uiPriority w:val="1"/>
    <w:qFormat/>
    <w:pPr>
      <w:spacing w:before="0" w:after="0" w:line="240" w:lineRule="auto"/>
    </w:pPr>
  </w:style>
  <w:style w:type="paragraph" w:styleId="673">
    <w:name w:val="Title"/>
    <w:basedOn w:val="829"/>
    <w:next w:val="829"/>
    <w:link w:val="674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674">
    <w:name w:val="Title Char"/>
    <w:basedOn w:val="830"/>
    <w:link w:val="673"/>
    <w:uiPriority w:val="10"/>
    <w:rPr>
      <w:sz w:val="48"/>
      <w:szCs w:val="48"/>
    </w:rPr>
  </w:style>
  <w:style w:type="paragraph" w:styleId="675">
    <w:name w:val="Subtitle"/>
    <w:basedOn w:val="829"/>
    <w:next w:val="829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basedOn w:val="830"/>
    <w:link w:val="675"/>
    <w:uiPriority w:val="11"/>
    <w:rPr>
      <w:sz w:val="24"/>
      <w:szCs w:val="24"/>
    </w:rPr>
  </w:style>
  <w:style w:type="paragraph" w:styleId="677">
    <w:name w:val="Quote"/>
    <w:basedOn w:val="829"/>
    <w:next w:val="829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29"/>
    <w:next w:val="829"/>
    <w:link w:val="680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29"/>
    <w:link w:val="682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82">
    <w:name w:val="Header Char"/>
    <w:basedOn w:val="830"/>
    <w:link w:val="681"/>
    <w:uiPriority w:val="99"/>
  </w:style>
  <w:style w:type="paragraph" w:styleId="683">
    <w:name w:val="Footer"/>
    <w:basedOn w:val="829"/>
    <w:link w:val="686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84">
    <w:name w:val="Footer Char"/>
    <w:basedOn w:val="830"/>
    <w:link w:val="683"/>
    <w:uiPriority w:val="99"/>
  </w:style>
  <w:style w:type="paragraph" w:styleId="685">
    <w:name w:val="Caption"/>
    <w:basedOn w:val="829"/>
    <w:next w:val="82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basedOn w:val="685"/>
    <w:link w:val="683"/>
    <w:uiPriority w:val="99"/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67a4d8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a5a5a5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5b9bd5" w:themeFill="accent1"/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ed7d31" w:themeFill="accent2"/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a5a5a5" w:themeFill="accent3"/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ffc000" w:themeFill="accent4"/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472c4" w:themeFill="accent5"/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70ad47" w:themeFill="accent6"/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5b9bd5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5b9bd5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f4b185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9c9c9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ffd864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8eabdb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aad08f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2">
    <w:name w:val="footnote text"/>
    <w:basedOn w:val="829"/>
    <w:link w:val="813"/>
    <w:uiPriority w:val="99"/>
    <w:semiHidden/>
    <w:unhideWhenUsed/>
    <w:pPr>
      <w:spacing w:after="40" w:line="240" w:lineRule="auto"/>
    </w:pPr>
    <w:rPr>
      <w:sz w:val="18"/>
    </w:rPr>
  </w:style>
  <w:style w:type="character" w:styleId="813">
    <w:name w:val="Footnote Text Char"/>
    <w:link w:val="812"/>
    <w:uiPriority w:val="99"/>
    <w:rPr>
      <w:sz w:val="18"/>
    </w:rPr>
  </w:style>
  <w:style w:type="character" w:styleId="814">
    <w:name w:val="footnote reference"/>
    <w:basedOn w:val="830"/>
    <w:uiPriority w:val="99"/>
    <w:unhideWhenUsed/>
    <w:rPr>
      <w:vertAlign w:val="superscript"/>
    </w:rPr>
  </w:style>
  <w:style w:type="paragraph" w:styleId="815">
    <w:name w:val="endnote text"/>
    <w:basedOn w:val="829"/>
    <w:link w:val="816"/>
    <w:uiPriority w:val="99"/>
    <w:semiHidden/>
    <w:unhideWhenUsed/>
    <w:pPr>
      <w:spacing w:after="0" w:line="240" w:lineRule="auto"/>
    </w:pPr>
    <w:rPr>
      <w:sz w:val="20"/>
    </w:rPr>
  </w:style>
  <w:style w:type="character" w:styleId="816">
    <w:name w:val="Endnote Text Char"/>
    <w:link w:val="815"/>
    <w:uiPriority w:val="99"/>
    <w:rPr>
      <w:sz w:val="20"/>
    </w:rPr>
  </w:style>
  <w:style w:type="character" w:styleId="817">
    <w:name w:val="endnote reference"/>
    <w:basedOn w:val="830"/>
    <w:uiPriority w:val="99"/>
    <w:semiHidden/>
    <w:unhideWhenUsed/>
    <w:rPr>
      <w:vertAlign w:val="superscript"/>
    </w:rPr>
  </w:style>
  <w:style w:type="paragraph" w:styleId="818">
    <w:name w:val="toc 1"/>
    <w:basedOn w:val="829"/>
    <w:next w:val="829"/>
    <w:uiPriority w:val="39"/>
    <w:unhideWhenUsed/>
    <w:pPr>
      <w:spacing w:after="57"/>
      <w:ind w:left="0" w:right="0" w:firstLine="0"/>
    </w:pPr>
  </w:style>
  <w:style w:type="paragraph" w:styleId="819">
    <w:name w:val="toc 2"/>
    <w:basedOn w:val="829"/>
    <w:next w:val="829"/>
    <w:uiPriority w:val="39"/>
    <w:unhideWhenUsed/>
    <w:pPr>
      <w:spacing w:after="57"/>
      <w:ind w:left="283" w:right="0" w:firstLine="0"/>
    </w:pPr>
  </w:style>
  <w:style w:type="paragraph" w:styleId="820">
    <w:name w:val="toc 3"/>
    <w:basedOn w:val="829"/>
    <w:next w:val="829"/>
    <w:uiPriority w:val="39"/>
    <w:unhideWhenUsed/>
    <w:pPr>
      <w:spacing w:after="57"/>
      <w:ind w:left="567" w:right="0" w:firstLine="0"/>
    </w:pPr>
  </w:style>
  <w:style w:type="paragraph" w:styleId="821">
    <w:name w:val="toc 4"/>
    <w:basedOn w:val="829"/>
    <w:next w:val="829"/>
    <w:uiPriority w:val="39"/>
    <w:unhideWhenUsed/>
    <w:pPr>
      <w:spacing w:after="57"/>
      <w:ind w:left="850" w:right="0" w:firstLine="0"/>
    </w:pPr>
  </w:style>
  <w:style w:type="paragraph" w:styleId="822">
    <w:name w:val="toc 5"/>
    <w:basedOn w:val="829"/>
    <w:next w:val="829"/>
    <w:uiPriority w:val="39"/>
    <w:unhideWhenUsed/>
    <w:pPr>
      <w:spacing w:after="57"/>
      <w:ind w:left="1134" w:right="0" w:firstLine="0"/>
    </w:pPr>
  </w:style>
  <w:style w:type="paragraph" w:styleId="823">
    <w:name w:val="toc 6"/>
    <w:basedOn w:val="829"/>
    <w:next w:val="829"/>
    <w:uiPriority w:val="39"/>
    <w:unhideWhenUsed/>
    <w:pPr>
      <w:spacing w:after="57"/>
      <w:ind w:left="1417" w:right="0" w:firstLine="0"/>
    </w:pPr>
  </w:style>
  <w:style w:type="paragraph" w:styleId="824">
    <w:name w:val="toc 7"/>
    <w:basedOn w:val="829"/>
    <w:next w:val="829"/>
    <w:uiPriority w:val="39"/>
    <w:unhideWhenUsed/>
    <w:pPr>
      <w:spacing w:after="57"/>
      <w:ind w:left="1701" w:right="0" w:firstLine="0"/>
    </w:pPr>
  </w:style>
  <w:style w:type="paragraph" w:styleId="825">
    <w:name w:val="toc 8"/>
    <w:basedOn w:val="829"/>
    <w:next w:val="829"/>
    <w:uiPriority w:val="39"/>
    <w:unhideWhenUsed/>
    <w:pPr>
      <w:spacing w:after="57"/>
      <w:ind w:left="1984" w:right="0" w:firstLine="0"/>
    </w:pPr>
  </w:style>
  <w:style w:type="paragraph" w:styleId="826">
    <w:name w:val="toc 9"/>
    <w:basedOn w:val="829"/>
    <w:next w:val="829"/>
    <w:uiPriority w:val="39"/>
    <w:unhideWhenUsed/>
    <w:pPr>
      <w:spacing w:after="57"/>
      <w:ind w:left="2268" w:right="0" w:firstLine="0"/>
    </w:pPr>
  </w:style>
  <w:style w:type="paragraph" w:styleId="827">
    <w:name w:val="TOC Heading"/>
    <w:uiPriority w:val="39"/>
    <w:unhideWhenUsed/>
  </w:style>
  <w:style w:type="paragraph" w:styleId="828">
    <w:name w:val="table of figures"/>
    <w:basedOn w:val="829"/>
    <w:next w:val="829"/>
    <w:uiPriority w:val="99"/>
    <w:unhideWhenUsed/>
    <w:pPr>
      <w:spacing w:after="0" w:afterAutospacing="0"/>
    </w:pPr>
  </w:style>
  <w:style w:type="paragraph" w:styleId="829" w:default="1">
    <w:name w:val="Normal"/>
    <w:qFormat/>
  </w:style>
  <w:style w:type="character" w:styleId="830" w:default="1">
    <w:name w:val="Default Paragraph Font"/>
    <w:uiPriority w:val="1"/>
    <w:semiHidden/>
    <w:unhideWhenUsed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Balloon Text"/>
    <w:basedOn w:val="829"/>
    <w:link w:val="83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4" w:customStyle="1">
    <w:name w:val="Текст выноски Знак"/>
    <w:basedOn w:val="830"/>
    <w:link w:val="833"/>
    <w:uiPriority w:val="99"/>
    <w:semiHidden/>
    <w:rPr>
      <w:rFonts w:ascii="Segoe UI" w:hAnsi="Segoe UI" w:cs="Segoe UI"/>
      <w:sz w:val="18"/>
      <w:szCs w:val="18"/>
    </w:rPr>
  </w:style>
  <w:style w:type="character" w:styleId="835">
    <w:name w:val="Hyperlink"/>
    <w:basedOn w:val="830"/>
    <w:uiPriority w:val="99"/>
    <w:unhideWhenUsed/>
    <w:rPr>
      <w:color w:val="0563c1" w:themeColor="hyperlink"/>
      <w:u w:val="single"/>
    </w:rPr>
  </w:style>
  <w:style w:type="paragraph" w:styleId="836">
    <w:name w:val="List Paragraph"/>
    <w:basedOn w:val="829"/>
    <w:uiPriority w:val="34"/>
    <w:qFormat/>
    <w:pPr>
      <w:ind w:left="720"/>
      <w:contextualSpacing/>
    </w:pPr>
  </w:style>
  <w:style w:type="table" w:styleId="837">
    <w:name w:val="Table Grid"/>
    <w:basedOn w:val="831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38" w:customStyle="1">
    <w:name w:val="object"/>
    <w:basedOn w:val="830"/>
  </w:style>
  <w:style w:type="paragraph" w:styleId="839">
    <w:name w:val="Normal (Web)"/>
    <w:basedOn w:val="829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40</cp:revision>
  <dcterms:created xsi:type="dcterms:W3CDTF">2022-05-25T09:41:00Z</dcterms:created>
  <dcterms:modified xsi:type="dcterms:W3CDTF">2025-08-11T01:08:36Z</dcterms:modified>
</cp:coreProperties>
</file>