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837"/>
        <w:tblW w:w="1006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4506"/>
        <w:gridCol w:w="5559"/>
      </w:tblGrid>
      <w:tr>
        <w:tblPrEx/>
        <w:trPr>
          <w:trHeight w:val="426"/>
        </w:trPr>
        <w:tc>
          <w:tcPr>
            <w:tcW w:w="4506" w:type="dxa"/>
            <w:textDirection w:val="lrTb"/>
            <w:noWrap w:val="false"/>
          </w:tcPr>
          <w:p>
            <w:pPr>
              <w:rPr>
                <w:rFonts w:ascii="Inter V" w:hAnsi="Inter V" w:cs="Times New Roman"/>
                <w:b/>
                <w:sz w:val="28"/>
                <w:szCs w:val="28"/>
              </w:rPr>
            </w:pPr>
            <w:r>
              <w:rPr>
                <w:rFonts w:ascii="Inter V" w:hAnsi="Inter V" w:cs="Times New Roman"/>
                <w:b/>
                <w:sz w:val="28"/>
                <w:szCs w:val="28"/>
              </w:rPr>
            </w:r>
            <w:r>
              <w:rPr>
                <w:rFonts w:ascii="Inter V" w:hAnsi="Inter V" w:cs="Times New Roman"/>
                <w:b/>
                <w:sz w:val="28"/>
                <w:szCs w:val="28"/>
              </w:rPr>
            </w:r>
            <w:r>
              <w:rPr>
                <w:rFonts w:ascii="Inter V" w:hAnsi="Inter V" w:cs="Times New Roman"/>
                <w:b/>
                <w:sz w:val="28"/>
                <w:szCs w:val="28"/>
              </w:rPr>
            </w:r>
          </w:p>
        </w:tc>
        <w:tc>
          <w:tcPr>
            <w:tcW w:w="5559" w:type="dxa"/>
            <w:textDirection w:val="lrTb"/>
            <w:noWrap w:val="false"/>
          </w:tcPr>
          <w:p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</w:p>
        </w:tc>
      </w:tr>
      <w:tr>
        <w:tblPrEx/>
        <w:trPr>
          <w:trHeight w:val="994"/>
        </w:trPr>
        <w:tc>
          <w:tcPr>
            <w:tcW w:w="4506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226780" cy="942975"/>
                      <wp:effectExtent l="0" t="0" r="2540" b="0"/>
                      <wp:docPr id="1" name="Рисунок 1" descr="C:\Users\gomanenko_gv\Desktop\герб длинный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C:\Users\gomanenko_gv\Desktop\герб длинный.jpg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281727" cy="966243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  <a:miter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width:175.34pt;height:74.25pt;mso-wrap-distance-left:0.00pt;mso-wrap-distance-top:0.00pt;mso-wrap-distance-right:0.00pt;mso-wrap-distance-bottom:0.00pt;" stroked="f">
                      <v:path textboxrect="0,0,0,0"/>
                      <v:imagedata r:id="rId8" o:title="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</w:p>
        </w:tc>
        <w:tc>
          <w:tcPr>
            <w:tcW w:w="5559" w:type="dxa"/>
            <w:textDirection w:val="lrTb"/>
            <w:noWrap w:val="false"/>
          </w:tcPr>
          <w:p>
            <w:pPr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</w:r>
            <w:r>
              <w:rPr>
                <w:rFonts w:cs="Times New Roman"/>
                <w:b/>
                <w:sz w:val="24"/>
                <w:szCs w:val="24"/>
              </w:rPr>
            </w:r>
            <w:r>
              <w:rPr>
                <w:rFonts w:cs="Times New Roman"/>
                <w:b/>
                <w:sz w:val="24"/>
                <w:szCs w:val="24"/>
              </w:rPr>
            </w:r>
          </w:p>
          <w:p>
            <w:pPr>
              <w:jc w:val="right"/>
              <w:rPr>
                <w:rFonts w:ascii="Inter V" w:hAnsi="Inter V" w:cs="Times New Roman"/>
                <w:b/>
              </w:rPr>
            </w:pPr>
            <w:r>
              <w:rPr>
                <w:rFonts w:ascii="Inter V" w:hAnsi="Inter V" w:cs="Times New Roman"/>
                <w:b/>
              </w:rPr>
            </w:r>
            <w:r>
              <w:rPr>
                <w:rFonts w:ascii="Inter V" w:hAnsi="Inter V" w:cs="Times New Roman"/>
                <w:b/>
              </w:rPr>
            </w:r>
            <w:r>
              <w:rPr>
                <w:rFonts w:ascii="Inter V" w:hAnsi="Inter V" w:cs="Times New Roman"/>
                <w:b/>
              </w:rPr>
            </w:r>
          </w:p>
        </w:tc>
      </w:tr>
    </w:tbl>
    <w:p>
      <w:pPr>
        <w:jc w:val="right"/>
        <w:spacing w:line="240" w:lineRule="auto"/>
        <w:tabs>
          <w:tab w:val="left" w:pos="567" w:leader="none"/>
        </w:tabs>
        <w:rPr>
          <w:rFonts w:ascii="Arial" w:hAnsi="Arial" w:cs="Arial"/>
          <w:color w:val="202122"/>
          <w:shd w:val="clear" w:color="auto" w:fill="ffffff"/>
        </w:rPr>
      </w:pPr>
      <w:r>
        <w:rPr>
          <w:rFonts w:ascii="Arial" w:hAnsi="Arial" w:cs="Arial"/>
          <w:color w:val="202122"/>
          <w:shd w:val="clear" w:color="auto" w:fill="ffffff"/>
        </w:rPr>
        <w:t xml:space="preserve">4 июля 2025</w:t>
      </w:r>
      <w:r>
        <w:rPr>
          <w:rFonts w:ascii="Arial" w:hAnsi="Arial" w:cs="Arial"/>
          <w:color w:val="202122"/>
          <w:shd w:val="clear" w:color="auto" w:fill="ffffff"/>
        </w:rPr>
        <w:t xml:space="preserve"> года</w:t>
      </w:r>
      <w:r>
        <w:rPr>
          <w:rFonts w:ascii="Arial" w:hAnsi="Arial" w:cs="Arial"/>
          <w:color w:val="202122"/>
          <w:shd w:val="clear" w:color="auto" w:fill="ffffff"/>
        </w:rPr>
      </w:r>
      <w:r>
        <w:rPr>
          <w:rFonts w:ascii="Arial" w:hAnsi="Arial" w:cs="Arial"/>
          <w:color w:val="202122"/>
          <w:shd w:val="clear" w:color="auto" w:fill="ffffff"/>
        </w:rPr>
      </w:r>
    </w:p>
    <w:p>
      <w:pPr>
        <w:jc w:val="both"/>
        <w:spacing w:line="276" w:lineRule="auto"/>
        <w:tabs>
          <w:tab w:val="left" w:pos="567" w:leader="none"/>
        </w:tabs>
        <w:rPr>
          <w:rFonts w:ascii="Arial" w:hAnsi="Arial" w:cs="Arial"/>
          <w:b/>
          <w:color w:val="202122"/>
          <w:sz w:val="24"/>
          <w:szCs w:val="24"/>
          <w:shd w:val="clear" w:color="auto" w:fill="ffffff"/>
        </w:rPr>
      </w:pPr>
      <w:r>
        <w:rPr>
          <w:rFonts w:ascii="Arial" w:hAnsi="Arial" w:cs="Arial"/>
          <w:b/>
          <w:color w:val="202122"/>
          <w:sz w:val="24"/>
          <w:szCs w:val="24"/>
          <w:shd w:val="clear" w:color="auto" w:fill="ffffff"/>
        </w:rPr>
      </w:r>
      <w:r>
        <w:rPr>
          <w:rFonts w:ascii="Arial" w:hAnsi="Arial" w:cs="Arial"/>
          <w:b/>
          <w:color w:val="202122"/>
          <w:sz w:val="24"/>
          <w:szCs w:val="24"/>
          <w:shd w:val="clear" w:color="auto" w:fill="ffffff"/>
        </w:rPr>
      </w:r>
      <w:r>
        <w:rPr>
          <w:rFonts w:ascii="Arial" w:hAnsi="Arial" w:cs="Arial"/>
          <w:b/>
          <w:color w:val="202122"/>
          <w:sz w:val="24"/>
          <w:szCs w:val="24"/>
          <w:shd w:val="clear" w:color="auto" w:fill="ffffff"/>
        </w:rPr>
      </w:r>
    </w:p>
    <w:p>
      <w:pPr>
        <w:ind w:left="30" w:right="30" w:hanging="30"/>
        <w:jc w:val="both"/>
        <w:spacing w:line="240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highlight w:val="none"/>
        </w:rPr>
      </w:r>
      <w:r>
        <w:rPr>
          <w:rFonts w:ascii="Arial" w:hAnsi="Arial" w:cs="Arial"/>
          <w:b/>
          <w:bCs/>
        </w:rPr>
      </w:r>
      <w:r>
        <w:rPr>
          <w:rFonts w:ascii="Arial" w:hAnsi="Arial" w:cs="Arial"/>
          <w:b/>
          <w:bCs/>
        </w:rPr>
      </w:r>
    </w:p>
    <w:p>
      <w:pPr>
        <w:ind w:left="0" w:right="0" w:firstLine="0"/>
        <w:jc w:val="both"/>
        <w:spacing w:after="1" w:line="240" w:lineRule="auto"/>
        <w:rPr>
          <w:rFonts w:ascii="Liberation Sans" w:hAnsi="Liberation Sans" w:cs="Liberation Sans"/>
          <w:b/>
          <w:bCs/>
          <w:color w:val="000000" w:themeColor="text1"/>
          <w:sz w:val="22"/>
          <w:szCs w:val="22"/>
        </w:rPr>
      </w:pPr>
      <w:r>
        <w:rPr>
          <w:rFonts w:ascii="Liberation Sans" w:hAnsi="Liberation Sans" w:eastAsia="Liberation Sans" w:cs="Liberation Sans"/>
          <w:b/>
          <w:color w:val="000000" w:themeColor="text1"/>
          <w:sz w:val="22"/>
          <w:szCs w:val="22"/>
        </w:rPr>
        <w:t xml:space="preserve">В Росреестре Иркутской области рассказали о комплексных кадастровых работах </w:t>
      </w:r>
      <w:r>
        <w:rPr>
          <w:rFonts w:ascii="Liberation Sans" w:hAnsi="Liberation Sans" w:cs="Liberation Sans"/>
          <w:b/>
          <w:bCs/>
          <w:color w:val="000000" w:themeColor="text1"/>
          <w:sz w:val="22"/>
          <w:szCs w:val="22"/>
        </w:rPr>
      </w:r>
      <w:r>
        <w:rPr>
          <w:rFonts w:ascii="Liberation Sans" w:hAnsi="Liberation Sans" w:cs="Liberation Sans"/>
          <w:b/>
          <w:bCs/>
          <w:color w:val="000000" w:themeColor="text1"/>
          <w:sz w:val="22"/>
          <w:szCs w:val="22"/>
        </w:rPr>
      </w:r>
    </w:p>
    <w:p>
      <w:pPr>
        <w:ind w:left="0" w:right="0" w:firstLine="0"/>
        <w:jc w:val="both"/>
        <w:spacing w:after="1" w:line="240" w:lineRule="auto"/>
        <w:rPr>
          <w:rFonts w:ascii="Liberation Sans" w:hAnsi="Liberation Sans" w:cs="Liberation Sans"/>
          <w:b/>
          <w:bCs/>
          <w:color w:val="000000" w:themeColor="text1"/>
          <w:sz w:val="22"/>
          <w:szCs w:val="22"/>
        </w:rPr>
      </w:pPr>
      <w:r>
        <w:rPr>
          <w:rFonts w:ascii="Liberation Sans" w:hAnsi="Liberation Sans" w:eastAsia="Liberation Sans" w:cs="Liberation Sans"/>
          <w:b/>
          <w:color w:val="000000" w:themeColor="text1"/>
          <w:sz w:val="22"/>
          <w:szCs w:val="22"/>
          <w:highlight w:val="none"/>
        </w:rPr>
      </w:r>
      <w:r>
        <w:rPr>
          <w:rFonts w:ascii="Liberation Sans" w:hAnsi="Liberation Sans" w:cs="Liberation Sans"/>
          <w:b/>
          <w:bCs/>
          <w:color w:val="000000" w:themeColor="text1"/>
          <w:sz w:val="22"/>
          <w:szCs w:val="22"/>
        </w:rPr>
      </w:r>
      <w:r>
        <w:rPr>
          <w:rFonts w:ascii="Liberation Sans" w:hAnsi="Liberation Sans" w:cs="Liberation Sans"/>
          <w:b/>
          <w:bCs/>
          <w:color w:val="000000" w:themeColor="text1"/>
          <w:sz w:val="22"/>
          <w:szCs w:val="22"/>
        </w:rPr>
      </w:r>
    </w:p>
    <w:p>
      <w:pPr>
        <w:ind w:left="0" w:right="0" w:firstLine="0"/>
        <w:jc w:val="both"/>
        <w:spacing w:after="1" w:line="240" w:lineRule="auto"/>
        <w:rPr>
          <w:rFonts w:ascii="Liberation Sans" w:hAnsi="Liberation Sans" w:cs="Liberation Sans"/>
          <w:b/>
          <w:bCs/>
          <w:color w:val="000000" w:themeColor="text1"/>
          <w:sz w:val="22"/>
          <w:szCs w:val="22"/>
          <w:highlight w:val="none"/>
        </w:rPr>
      </w:pPr>
      <w:r>
        <w:rPr>
          <w:rFonts w:ascii="Liberation Sans" w:hAnsi="Liberation Sans" w:eastAsia="Liberation Sans" w:cs="Liberation Sans"/>
          <w:b/>
          <w:color w:val="000000" w:themeColor="text1"/>
          <w:sz w:val="22"/>
          <w:szCs w:val="22"/>
        </w:rPr>
        <w:t xml:space="preserve"> </w:t>
      </w:r>
      <w:r>
        <w:rPr>
          <w:rFonts w:ascii="Liberation Sans" w:hAnsi="Liberation Sans" w:cs="Liberation Sans"/>
          <w:b/>
          <w:bCs/>
          <w:color w:val="000000" w:themeColor="text1"/>
          <w:sz w:val="22"/>
          <w:szCs w:val="22"/>
          <w:highlight w:val="none"/>
        </w:rPr>
      </w:r>
      <w:r>
        <w:rPr>
          <w:rFonts w:ascii="Liberation Sans" w:hAnsi="Liberation Sans" w:cs="Liberation Sans"/>
          <w:b/>
          <w:bCs/>
          <w:color w:val="000000" w:themeColor="text1"/>
          <w:sz w:val="22"/>
          <w:szCs w:val="22"/>
          <w:highlight w:val="none"/>
        </w:rPr>
      </w:r>
    </w:p>
    <w:p>
      <w:pPr>
        <w:ind w:left="0" w:right="0" w:firstLine="0"/>
        <w:jc w:val="both"/>
        <w:spacing w:after="0" w:line="240" w:lineRule="auto"/>
        <w:rPr>
          <w:rFonts w:ascii="Liberation Sans" w:hAnsi="Liberation Sans" w:cs="Liberation Sans"/>
          <w:color w:val="000000" w:themeColor="text1"/>
          <w:sz w:val="22"/>
          <w:szCs w:val="22"/>
        </w:rPr>
      </w:pPr>
      <w:r>
        <w:rPr>
          <w:rFonts w:ascii="Liberation Sans" w:hAnsi="Liberation Sans" w:eastAsia="Liberation Sans" w:cs="Liberation Sans"/>
          <w:color w:val="000000" w:themeColor="text1"/>
          <w:sz w:val="22"/>
          <w:szCs w:val="22"/>
        </w:rPr>
        <w:t xml:space="preserve">В Управление Росреестра по Иркутской области поступают вопросы от граждан, касающиеся проведения комплексных кадастровых работ на территории Иркутской области. С</w:t>
      </w:r>
      <w:r>
        <w:rPr>
          <w:rFonts w:ascii="Liberation Sans" w:hAnsi="Liberation Sans" w:eastAsia="Liberation Sans" w:cs="Liberation Sans"/>
          <w:color w:val="000000" w:themeColor="text1"/>
          <w:sz w:val="22"/>
          <w:szCs w:val="22"/>
        </w:rPr>
        <w:t xml:space="preserve">обственникам земельных участков, расположенных в 5 кадастровых кварталах на территории деревень Ширяева, Лыловщина и Горяшина Иркутского районного муниципального образования (38:06:090101, 38:06:090102, 38:06:090201, 38:06:090202, 38:06:090301</w:t>
      </w:r>
      <w:r>
        <w:rPr>
          <w:rFonts w:ascii="Liberation Sans" w:hAnsi="Liberation Sans" w:eastAsia="Liberation Sans" w:cs="Liberation Sans"/>
          <w:color w:val="000000" w:themeColor="text1"/>
          <w:sz w:val="22"/>
          <w:szCs w:val="22"/>
        </w:rPr>
        <w:t xml:space="preserve">) поступили извещения о проведении </w:t>
      </w:r>
      <w:r>
        <w:rPr>
          <w:rFonts w:ascii="Liberation Sans" w:hAnsi="Liberation Sans" w:eastAsia="Liberation Sans" w:cs="Liberation Sans"/>
          <w:b/>
          <w:bCs/>
          <w:color w:val="000000" w:themeColor="text1"/>
          <w:sz w:val="22"/>
          <w:szCs w:val="22"/>
        </w:rPr>
        <w:t xml:space="preserve">3 июня и 8 июля 2025 года</w:t>
      </w:r>
      <w:r>
        <w:rPr>
          <w:rFonts w:ascii="Liberation Sans" w:hAnsi="Liberation Sans" w:eastAsia="Liberation Sans" w:cs="Liberation Sans"/>
          <w:color w:val="000000" w:themeColor="text1"/>
          <w:sz w:val="22"/>
          <w:szCs w:val="22"/>
        </w:rPr>
        <w:t xml:space="preserve"> заседаний согласительной комиссии по вопросу согласования местоположения границ земельных участков при выполнении комплексных кадастровых работ.</w:t>
      </w:r>
      <w:r>
        <w:rPr>
          <w:rFonts w:ascii="Liberation Sans" w:hAnsi="Liberation Sans" w:cs="Liberation Sans"/>
          <w:color w:val="000000" w:themeColor="text1"/>
          <w:sz w:val="22"/>
          <w:szCs w:val="22"/>
        </w:rPr>
      </w:r>
      <w:r>
        <w:rPr>
          <w:rFonts w:ascii="Liberation Sans" w:hAnsi="Liberation Sans" w:cs="Liberation Sans"/>
          <w:color w:val="000000" w:themeColor="text1"/>
          <w:sz w:val="22"/>
          <w:szCs w:val="22"/>
        </w:rPr>
      </w:r>
    </w:p>
    <w:p>
      <w:pPr>
        <w:ind w:left="0" w:right="0" w:firstLine="0"/>
        <w:jc w:val="both"/>
        <w:spacing w:after="0" w:line="240" w:lineRule="auto"/>
        <w:rPr>
          <w:rFonts w:ascii="Liberation Sans" w:hAnsi="Liberation Sans" w:cs="Liberation Sans"/>
          <w:sz w:val="22"/>
          <w:szCs w:val="22"/>
        </w:rPr>
      </w:pPr>
      <w:r>
        <w:rPr>
          <w:rFonts w:ascii="Liberation Sans" w:hAnsi="Liberation Sans" w:eastAsia="Liberation Sans" w:cs="Liberation Sans"/>
          <w:sz w:val="22"/>
          <w:szCs w:val="22"/>
          <w:highlight w:val="none"/>
        </w:rPr>
      </w:r>
      <w:r>
        <w:rPr>
          <w:rFonts w:ascii="Liberation Sans" w:hAnsi="Liberation Sans" w:cs="Liberation Sans"/>
          <w:sz w:val="22"/>
          <w:szCs w:val="22"/>
        </w:rPr>
      </w:r>
      <w:r>
        <w:rPr>
          <w:rFonts w:ascii="Liberation Sans" w:hAnsi="Liberation Sans" w:cs="Liberation Sans"/>
          <w:sz w:val="22"/>
          <w:szCs w:val="22"/>
        </w:rPr>
      </w:r>
    </w:p>
    <w:p>
      <w:pPr>
        <w:ind w:left="0" w:right="0" w:firstLine="0"/>
        <w:jc w:val="both"/>
        <w:spacing w:after="0" w:line="240" w:lineRule="auto"/>
        <w:rPr>
          <w:rFonts w:ascii="Liberation Sans" w:hAnsi="Liberation Sans" w:cs="Liberation Sans"/>
          <w:b/>
          <w:bCs/>
          <w:sz w:val="22"/>
          <w:szCs w:val="22"/>
          <w:highlight w:val="none"/>
        </w:rPr>
      </w:pPr>
      <w:r>
        <w:rPr>
          <w:rFonts w:ascii="Liberation Sans" w:hAnsi="Liberation Sans" w:eastAsia="Liberation Sans" w:cs="Liberation Sans"/>
          <w:b/>
          <w:bCs/>
          <w:color w:val="000000" w:themeColor="text1"/>
          <w:sz w:val="22"/>
          <w:szCs w:val="22"/>
        </w:rPr>
        <w:t xml:space="preserve">Что это значит?</w:t>
      </w:r>
      <w:r>
        <w:rPr>
          <w:rFonts w:ascii="Liberation Sans" w:hAnsi="Liberation Sans" w:eastAsia="Liberation Sans" w:cs="Liberation Sans"/>
          <w:b/>
          <w:bCs/>
          <w:sz w:val="22"/>
          <w:szCs w:val="22"/>
        </w:rPr>
        <w:t xml:space="preserve"> Разъясняет начальник отдела геодезии, картографии, землеустройства и мониторинга земель Елена Владимировна Малитовская.</w:t>
      </w:r>
      <w:r>
        <w:rPr>
          <w:rFonts w:ascii="Liberation Sans" w:hAnsi="Liberation Sans" w:cs="Liberation Sans"/>
          <w:b/>
          <w:bCs/>
          <w:sz w:val="22"/>
          <w:szCs w:val="22"/>
          <w:highlight w:val="none"/>
        </w:rPr>
      </w:r>
      <w:r>
        <w:rPr>
          <w:rFonts w:ascii="Liberation Sans" w:hAnsi="Liberation Sans" w:cs="Liberation Sans"/>
          <w:b/>
          <w:bCs/>
          <w:sz w:val="22"/>
          <w:szCs w:val="22"/>
          <w:highlight w:val="none"/>
        </w:rPr>
      </w:r>
    </w:p>
    <w:p>
      <w:pPr>
        <w:ind w:left="0" w:right="0" w:firstLine="0"/>
        <w:jc w:val="both"/>
        <w:spacing w:after="0" w:line="240" w:lineRule="auto"/>
        <w:rPr>
          <w:rFonts w:ascii="Liberation Sans" w:hAnsi="Liberation Sans" w:cs="Liberation Sans"/>
          <w:b/>
          <w:bCs/>
          <w:sz w:val="22"/>
          <w:szCs w:val="22"/>
        </w:rPr>
      </w:pPr>
      <w:r>
        <w:rPr>
          <w:rFonts w:ascii="Liberation Sans" w:hAnsi="Liberation Sans" w:eastAsia="Liberation Sans" w:cs="Liberation Sans"/>
          <w:b/>
          <w:bCs/>
          <w:sz w:val="22"/>
          <w:szCs w:val="22"/>
          <w:highlight w:val="none"/>
        </w:rPr>
      </w:r>
      <w:r>
        <w:rPr>
          <w:rFonts w:ascii="Liberation Sans" w:hAnsi="Liberation Sans" w:cs="Liberation Sans"/>
          <w:b/>
          <w:bCs/>
          <w:sz w:val="22"/>
          <w:szCs w:val="22"/>
        </w:rPr>
      </w:r>
      <w:r>
        <w:rPr>
          <w:rFonts w:ascii="Liberation Sans" w:hAnsi="Liberation Sans" w:cs="Liberation Sans"/>
          <w:b/>
          <w:bCs/>
          <w:sz w:val="22"/>
          <w:szCs w:val="22"/>
        </w:rPr>
      </w:r>
    </w:p>
    <w:p>
      <w:pPr>
        <w:ind w:left="0" w:right="0" w:firstLine="0"/>
        <w:jc w:val="both"/>
        <w:spacing w:after="0" w:line="240" w:lineRule="auto"/>
        <w:rPr>
          <w:rFonts w:ascii="Liberation Sans" w:hAnsi="Liberation Sans" w:cs="Liberation Sans"/>
          <w:sz w:val="22"/>
          <w:szCs w:val="22"/>
          <w:highlight w:val="none"/>
        </w:rPr>
      </w:pPr>
      <w:r>
        <w:rPr>
          <w:rFonts w:ascii="Liberation Sans" w:hAnsi="Liberation Sans" w:eastAsia="Liberation Sans" w:cs="Liberation Sans"/>
          <w:color w:val="000000" w:themeColor="text1"/>
          <w:sz w:val="22"/>
          <w:szCs w:val="22"/>
          <w:highlight w:val="none"/>
        </w:rPr>
        <w:t xml:space="preserve">В данном случае полученная жителями информация означает, что в период </w:t>
      </w:r>
      <w:r>
        <w:rPr>
          <w:rFonts w:ascii="Liberation Sans" w:hAnsi="Liberation Sans" w:eastAsia="Liberation Sans" w:cs="Liberation Sans"/>
          <w:color w:val="000000" w:themeColor="text1"/>
          <w:sz w:val="22"/>
          <w:szCs w:val="22"/>
          <w:highlight w:val="none"/>
        </w:rPr>
        <w:t xml:space="preserve">с 13 мая по 7 июля</w:t>
      </w:r>
      <w:r>
        <w:rPr>
          <w:rFonts w:ascii="Liberation Sans" w:hAnsi="Liberation Sans" w:eastAsia="Liberation Sans" w:cs="Liberation Sans"/>
          <w:color w:val="000000" w:themeColor="text1"/>
          <w:sz w:val="22"/>
          <w:szCs w:val="22"/>
          <w:highlight w:val="none"/>
        </w:rPr>
        <w:t xml:space="preserve"> 2025 года правооблад</w:t>
      </w:r>
      <w:r>
        <w:rPr>
          <w:rFonts w:ascii="Liberation Sans" w:hAnsi="Liberation Sans" w:eastAsia="Liberation Sans" w:cs="Liberation Sans"/>
          <w:color w:val="000000" w:themeColor="text1"/>
          <w:sz w:val="22"/>
          <w:szCs w:val="22"/>
        </w:rPr>
        <w:t xml:space="preserve">атель вправе представить  возражения относительно местоположения границ своего земельного участка для их корректировки в карте-плане территории, а если возражения отсутствуют -  местоположение границ счит</w:t>
      </w:r>
      <w:r>
        <w:rPr>
          <w:rFonts w:ascii="Liberation Sans" w:hAnsi="Liberation Sans" w:eastAsia="Liberation Sans" w:cs="Liberation Sans"/>
          <w:color w:val="000000" w:themeColor="text1"/>
          <w:sz w:val="22"/>
          <w:szCs w:val="22"/>
        </w:rPr>
        <w:t xml:space="preserve">ается согласованным.</w:t>
      </w:r>
      <w:r>
        <w:rPr>
          <w:rFonts w:ascii="Liberation Sans" w:hAnsi="Liberation Sans" w:cs="Liberation Sans"/>
          <w:sz w:val="22"/>
          <w:szCs w:val="22"/>
          <w:highlight w:val="none"/>
        </w:rPr>
      </w:r>
      <w:r>
        <w:rPr>
          <w:rFonts w:ascii="Liberation Sans" w:hAnsi="Liberation Sans" w:cs="Liberation Sans"/>
          <w:sz w:val="22"/>
          <w:szCs w:val="22"/>
          <w:highlight w:val="none"/>
        </w:rPr>
      </w:r>
    </w:p>
    <w:p>
      <w:pPr>
        <w:ind w:left="0" w:right="0" w:firstLine="0"/>
        <w:jc w:val="both"/>
        <w:spacing w:after="0" w:line="240" w:lineRule="auto"/>
        <w:rPr>
          <w:rFonts w:ascii="Liberation Sans" w:hAnsi="Liberation Sans" w:cs="Liberation Sans"/>
          <w:sz w:val="22"/>
          <w:szCs w:val="22"/>
        </w:rPr>
      </w:pPr>
      <w:r>
        <w:rPr>
          <w:rFonts w:ascii="Liberation Sans" w:hAnsi="Liberation Sans" w:eastAsia="Liberation Sans" w:cs="Liberation Sans"/>
          <w:sz w:val="22"/>
          <w:szCs w:val="22"/>
          <w:highlight w:val="none"/>
        </w:rPr>
      </w:r>
      <w:r>
        <w:rPr>
          <w:rFonts w:ascii="Liberation Sans" w:hAnsi="Liberation Sans" w:cs="Liberation Sans"/>
          <w:sz w:val="22"/>
          <w:szCs w:val="22"/>
        </w:rPr>
      </w:r>
      <w:r>
        <w:rPr>
          <w:rFonts w:ascii="Liberation Sans" w:hAnsi="Liberation Sans" w:cs="Liberation Sans"/>
          <w:sz w:val="22"/>
          <w:szCs w:val="22"/>
        </w:rPr>
      </w:r>
    </w:p>
    <w:p>
      <w:pPr>
        <w:ind w:left="0" w:right="0" w:firstLine="0"/>
        <w:jc w:val="both"/>
        <w:spacing w:after="0" w:line="240" w:lineRule="auto"/>
        <w:rPr>
          <w:rFonts w:ascii="Liberation Sans" w:hAnsi="Liberation Sans" w:cs="Liberation Sans"/>
          <w:sz w:val="22"/>
          <w:szCs w:val="22"/>
          <w:highlight w:val="none"/>
        </w:rPr>
      </w:pPr>
      <w:r>
        <w:rPr>
          <w:rFonts w:ascii="Liberation Sans" w:hAnsi="Liberation Sans" w:eastAsia="Liberation Sans" w:cs="Liberation Sans"/>
          <w:color w:val="000000" w:themeColor="text1"/>
          <w:sz w:val="22"/>
          <w:szCs w:val="22"/>
        </w:rPr>
        <w:t xml:space="preserve">К</w:t>
      </w:r>
      <w:r>
        <w:rPr>
          <w:rFonts w:ascii="Liberation Sans" w:hAnsi="Liberation Sans" w:eastAsia="Liberation Sans" w:cs="Liberation Sans"/>
          <w:color w:val="000000" w:themeColor="text1"/>
          <w:sz w:val="22"/>
          <w:szCs w:val="22"/>
        </w:rPr>
        <w:t xml:space="preserve">омплексные кадастровые работы -  это простой, удобный, а самое главное бесплатный способ проведения кадастровых работ на вашем земельном участке. Для вас бесплатно уточнят, а если их нет - то и установят границы земельного участка, а также распо</w:t>
      </w:r>
      <w:r>
        <w:rPr>
          <w:rFonts w:ascii="Liberation Sans" w:hAnsi="Liberation Sans" w:eastAsia="Liberation Sans" w:cs="Liberation Sans"/>
          <w:color w:val="000000" w:themeColor="text1"/>
          <w:sz w:val="22"/>
          <w:szCs w:val="22"/>
        </w:rPr>
        <w:t xml:space="preserve">ложенных на нем зданий и сооружений. Сегодня это особенно актуально, так как  с 1 марта  2025 года зарегистрировать сделку с земельным участком без установленных границ  невозможно.</w:t>
      </w:r>
      <w:r>
        <w:rPr>
          <w:rFonts w:ascii="Liberation Sans" w:hAnsi="Liberation Sans" w:cs="Liberation Sans"/>
          <w:sz w:val="22"/>
          <w:szCs w:val="22"/>
          <w:highlight w:val="none"/>
        </w:rPr>
      </w:r>
      <w:r>
        <w:rPr>
          <w:rFonts w:ascii="Liberation Sans" w:hAnsi="Liberation Sans" w:cs="Liberation Sans"/>
          <w:sz w:val="22"/>
          <w:szCs w:val="22"/>
          <w:highlight w:val="none"/>
        </w:rPr>
      </w:r>
    </w:p>
    <w:p>
      <w:pPr>
        <w:ind w:left="0" w:right="0" w:firstLine="0"/>
        <w:jc w:val="both"/>
        <w:spacing w:after="0" w:line="240" w:lineRule="auto"/>
        <w:rPr>
          <w:rFonts w:ascii="Liberation Sans" w:hAnsi="Liberation Sans" w:cs="Liberation Sans"/>
          <w:sz w:val="22"/>
          <w:szCs w:val="22"/>
        </w:rPr>
      </w:pPr>
      <w:r>
        <w:rPr>
          <w:rFonts w:ascii="Liberation Sans" w:hAnsi="Liberation Sans" w:eastAsia="Liberation Sans" w:cs="Liberation Sans"/>
          <w:sz w:val="22"/>
          <w:szCs w:val="22"/>
          <w:highlight w:val="none"/>
        </w:rPr>
      </w:r>
      <w:r>
        <w:rPr>
          <w:rFonts w:ascii="Liberation Sans" w:hAnsi="Liberation Sans" w:cs="Liberation Sans"/>
          <w:sz w:val="22"/>
          <w:szCs w:val="22"/>
        </w:rPr>
      </w:r>
      <w:r>
        <w:rPr>
          <w:rFonts w:ascii="Liberation Sans" w:hAnsi="Liberation Sans" w:cs="Liberation Sans"/>
          <w:sz w:val="22"/>
          <w:szCs w:val="22"/>
        </w:rPr>
      </w:r>
    </w:p>
    <w:p>
      <w:pPr>
        <w:ind w:left="0" w:right="0" w:firstLine="0"/>
        <w:jc w:val="both"/>
        <w:spacing w:after="0" w:line="240" w:lineRule="auto"/>
        <w:rPr>
          <w:rFonts w:ascii="Liberation Sans" w:hAnsi="Liberation Sans" w:cs="Liberation Sans"/>
          <w:sz w:val="22"/>
          <w:szCs w:val="22"/>
        </w:rPr>
      </w:pPr>
      <w:r>
        <w:rPr>
          <w:rFonts w:ascii="Liberation Sans" w:hAnsi="Liberation Sans" w:eastAsia="Liberation Sans" w:cs="Liberation Sans"/>
          <w:color w:val="000000" w:themeColor="text1"/>
          <w:sz w:val="22"/>
          <w:szCs w:val="22"/>
        </w:rPr>
        <w:t xml:space="preserve">Кроме того правообладателю не нужно самостоятельно обращаться в орган регистрации для внесения в Единый государственный реестр недвижимости обновленных сведений. За вас это сделает исполнитель кадастровых работ. </w:t>
      </w:r>
      <w:r>
        <w:rPr>
          <w:rFonts w:ascii="Liberation Sans" w:hAnsi="Liberation Sans" w:eastAsia="Liberation Sans" w:cs="Liberation Sans"/>
          <w:color w:val="000000" w:themeColor="text1"/>
          <w:sz w:val="22"/>
          <w:szCs w:val="22"/>
        </w:rPr>
        <w:t xml:space="preserve">Комплексные кадастровые работы за счет средств федерального бюджета проводятся исключительно Публично-правовой компанией «Роскадастр». На эти цели в рамках государственной программы «Национальная система пространственных данных» </w:t>
      </w:r>
      <w:r>
        <w:rPr>
          <w:rFonts w:ascii="Liberation Sans" w:hAnsi="Liberation Sans" w:eastAsia="Liberation Sans" w:cs="Liberation Sans"/>
          <w:color w:val="000000" w:themeColor="text1"/>
          <w:sz w:val="22"/>
          <w:szCs w:val="22"/>
          <w:highlight w:val="none"/>
        </w:rPr>
        <w:t xml:space="preserve">для Иркутской области в 2025 году выделено 37 791,8 </w:t>
      </w:r>
      <w:r>
        <w:rPr>
          <w:rFonts w:ascii="Liberation Sans" w:hAnsi="Liberation Sans" w:eastAsia="Liberation Sans" w:cs="Liberation Sans"/>
          <w:color w:val="000000" w:themeColor="text1"/>
          <w:sz w:val="22"/>
          <w:szCs w:val="22"/>
          <w:highlight w:val="none"/>
        </w:rPr>
        <w:t xml:space="preserve">тыс. руб.</w:t>
      </w:r>
      <w:r>
        <w:rPr>
          <w:rFonts w:ascii="Liberation Sans" w:hAnsi="Liberation Sans" w:cs="Liberation Sans"/>
          <w:sz w:val="22"/>
          <w:szCs w:val="22"/>
        </w:rPr>
      </w:r>
      <w:r>
        <w:rPr>
          <w:rFonts w:ascii="Liberation Sans" w:hAnsi="Liberation Sans" w:cs="Liberation Sans"/>
          <w:sz w:val="22"/>
          <w:szCs w:val="22"/>
        </w:rPr>
      </w:r>
    </w:p>
    <w:p>
      <w:pPr>
        <w:ind w:left="0" w:right="0" w:firstLine="0"/>
        <w:jc w:val="both"/>
        <w:spacing w:after="0" w:line="240" w:lineRule="auto"/>
        <w:rPr>
          <w:rFonts w:ascii="Liberation Sans" w:hAnsi="Liberation Sans" w:cs="Liberation Sans"/>
          <w:sz w:val="22"/>
          <w:szCs w:val="22"/>
        </w:rPr>
      </w:pPr>
      <w:r>
        <w:rPr>
          <w:rFonts w:ascii="Liberation Sans" w:hAnsi="Liberation Sans" w:eastAsia="Liberation Sans" w:cs="Liberation Sans"/>
          <w:color w:val="000000" w:themeColor="text1"/>
          <w:sz w:val="22"/>
          <w:szCs w:val="22"/>
        </w:rPr>
        <w:t xml:space="preserve">Таким образом, преимуществом комплексных кадастровых работ является то, что по их результатам правообладатель освобождается  от оплаты кадастровых работ и защищен в случае возникновения земельных споров.</w:t>
      </w:r>
      <w:r>
        <w:rPr>
          <w:rFonts w:ascii="Liberation Sans" w:hAnsi="Liberation Sans" w:cs="Liberation Sans"/>
          <w:sz w:val="22"/>
          <w:szCs w:val="22"/>
        </w:rPr>
      </w:r>
      <w:r>
        <w:rPr>
          <w:rFonts w:ascii="Liberation Sans" w:hAnsi="Liberation Sans" w:cs="Liberation Sans"/>
          <w:sz w:val="22"/>
          <w:szCs w:val="22"/>
        </w:rPr>
      </w:r>
    </w:p>
    <w:p>
      <w:pPr>
        <w:ind w:left="0" w:right="0" w:firstLine="0"/>
        <w:jc w:val="both"/>
        <w:spacing w:after="0" w:line="240" w:lineRule="auto"/>
        <w:rPr>
          <w:rFonts w:ascii="Liberation Sans" w:hAnsi="Liberation Sans" w:cs="Liberation Sans"/>
          <w:color w:val="000000" w:themeColor="text1"/>
          <w:sz w:val="22"/>
          <w:szCs w:val="22"/>
          <w:highlight w:val="yellow"/>
        </w:rPr>
      </w:pPr>
      <w:r>
        <w:rPr>
          <w:rFonts w:ascii="Liberation Sans" w:hAnsi="Liberation Sans" w:eastAsia="Liberation Sans" w:cs="Liberation Sans"/>
          <w:color w:val="000000" w:themeColor="text1"/>
          <w:sz w:val="22"/>
          <w:szCs w:val="22"/>
          <w:highlight w:val="none"/>
        </w:rPr>
      </w:r>
      <w:r>
        <w:rPr>
          <w:rFonts w:ascii="Liberation Sans" w:hAnsi="Liberation Sans" w:cs="Liberation Sans"/>
          <w:color w:val="000000" w:themeColor="text1"/>
          <w:sz w:val="22"/>
          <w:szCs w:val="22"/>
          <w:highlight w:val="yellow"/>
        </w:rPr>
      </w:r>
      <w:r>
        <w:rPr>
          <w:rFonts w:ascii="Liberation Sans" w:hAnsi="Liberation Sans" w:cs="Liberation Sans"/>
          <w:color w:val="000000" w:themeColor="text1"/>
          <w:sz w:val="22"/>
          <w:szCs w:val="22"/>
          <w:highlight w:val="yellow"/>
        </w:rPr>
      </w:r>
    </w:p>
    <w:p>
      <w:pPr>
        <w:ind w:left="0" w:right="0" w:firstLine="0"/>
        <w:jc w:val="both"/>
        <w:spacing w:after="0" w:line="240" w:lineRule="auto"/>
        <w:rPr>
          <w:rFonts w:ascii="Liberation Sans" w:hAnsi="Liberation Sans" w:cs="Liberation Sans"/>
          <w:color w:val="000000" w:themeColor="text1"/>
          <w:sz w:val="22"/>
          <w:szCs w:val="22"/>
          <w:highlight w:val="none"/>
        </w:rPr>
      </w:pPr>
      <w:r>
        <w:rPr>
          <w:rFonts w:ascii="Liberation Sans" w:hAnsi="Liberation Sans" w:eastAsia="Liberation Sans" w:cs="Liberation Sans"/>
          <w:color w:val="000000" w:themeColor="text1"/>
          <w:sz w:val="22"/>
          <w:szCs w:val="22"/>
        </w:rPr>
        <w:t xml:space="preserve">В 2025 году комплексные кадастровые работы за счет средств федерального бю</w:t>
      </w:r>
      <w:r>
        <w:rPr>
          <w:rFonts w:ascii="Liberation Sans" w:hAnsi="Liberation Sans" w:eastAsia="Liberation Sans" w:cs="Liberation Sans"/>
          <w:color w:val="000000" w:themeColor="text1"/>
          <w:sz w:val="22"/>
          <w:szCs w:val="22"/>
        </w:rPr>
        <w:t xml:space="preserve">джета  проводятся в 98 кадастровых кварталах,  расположенных  </w:t>
      </w:r>
      <w:r>
        <w:rPr>
          <w:rFonts w:ascii="Liberation Sans" w:hAnsi="Liberation Sans" w:eastAsia="Liberation Sans" w:cs="Liberation Sans"/>
          <w:color w:val="000000" w:themeColor="text1"/>
          <w:sz w:val="22"/>
          <w:szCs w:val="22"/>
        </w:rPr>
        <w:t xml:space="preserve">на </w:t>
      </w:r>
      <w:r>
        <w:rPr>
          <w:rFonts w:ascii="Liberation Sans" w:hAnsi="Liberation Sans" w:eastAsia="Liberation Sans" w:cs="Liberation Sans"/>
          <w:color w:val="000000" w:themeColor="text1"/>
          <w:sz w:val="22"/>
          <w:szCs w:val="22"/>
        </w:rPr>
        <w:t xml:space="preserve">территориях  Иркутского, Шелеховского, Киренского, Нижнеудинского, Слюдянского, Заларинского, Зиминского, Нижнеилимского, Усть-Удинского, Аларского, Эхирит-Булагатского районов, Чунского муниципального округа и городов Свирск, Тулун.</w:t>
      </w:r>
      <w:r>
        <w:rPr>
          <w:rFonts w:ascii="Liberation Sans" w:hAnsi="Liberation Sans" w:cs="Liberation Sans"/>
          <w:color w:val="000000" w:themeColor="text1"/>
          <w:sz w:val="22"/>
          <w:szCs w:val="22"/>
          <w:highlight w:val="none"/>
        </w:rPr>
      </w:r>
      <w:r>
        <w:rPr>
          <w:rFonts w:ascii="Liberation Sans" w:hAnsi="Liberation Sans" w:cs="Liberation Sans"/>
          <w:color w:val="000000" w:themeColor="text1"/>
          <w:sz w:val="22"/>
          <w:szCs w:val="22"/>
          <w:highlight w:val="none"/>
        </w:rPr>
      </w:r>
    </w:p>
    <w:p>
      <w:pPr>
        <w:ind w:left="0" w:right="0" w:firstLine="0"/>
        <w:jc w:val="both"/>
        <w:spacing w:after="0" w:line="240" w:lineRule="auto"/>
        <w:rPr>
          <w:rFonts w:ascii="Liberation Sans" w:hAnsi="Liberation Sans" w:cs="Liberation Sans"/>
          <w:color w:val="000000" w:themeColor="text1"/>
          <w:sz w:val="22"/>
          <w:szCs w:val="22"/>
        </w:rPr>
      </w:pPr>
      <w:r>
        <w:rPr>
          <w:rFonts w:ascii="Liberation Sans" w:hAnsi="Liberation Sans" w:eastAsia="Liberation Sans" w:cs="Liberation Sans"/>
          <w:color w:val="000000" w:themeColor="text1"/>
          <w:sz w:val="22"/>
          <w:szCs w:val="22"/>
        </w:rPr>
      </w:r>
      <w:r>
        <w:rPr>
          <w:rFonts w:ascii="Liberation Sans" w:hAnsi="Liberation Sans" w:cs="Liberation Sans"/>
          <w:color w:val="000000" w:themeColor="text1"/>
          <w:sz w:val="22"/>
          <w:szCs w:val="22"/>
        </w:rPr>
      </w:r>
      <w:r>
        <w:rPr>
          <w:rFonts w:ascii="Liberation Sans" w:hAnsi="Liberation Sans" w:cs="Liberation Sans"/>
          <w:color w:val="000000" w:themeColor="text1"/>
          <w:sz w:val="22"/>
          <w:szCs w:val="22"/>
        </w:rPr>
      </w:r>
    </w:p>
    <w:p>
      <w:pPr>
        <w:ind w:left="0" w:right="0" w:firstLine="0"/>
        <w:jc w:val="both"/>
        <w:spacing w:line="240" w:lineRule="auto"/>
        <w:rPr>
          <w:rFonts w:ascii="Liberation Sans" w:hAnsi="Liberation Sans" w:cs="Liberation Sans"/>
          <w:b/>
          <w:bCs/>
          <w:sz w:val="22"/>
          <w:szCs w:val="22"/>
          <w:highlight w:val="none"/>
        </w:rPr>
      </w:pPr>
      <w:r>
        <w:rPr>
          <w:rFonts w:ascii="Liberation Sans" w:hAnsi="Liberation Sans" w:eastAsia="Liberation Sans" w:cs="Liberation Sans"/>
          <w:b/>
          <w:color w:val="000000"/>
          <w:sz w:val="22"/>
          <w:szCs w:val="22"/>
        </w:rPr>
      </w:r>
      <w:r>
        <w:rPr>
          <w:rFonts w:ascii="Liberation Sans" w:hAnsi="Liberation Sans" w:eastAsia="Liberation Sans" w:cs="Liberation Sans"/>
          <w:b/>
          <w:sz w:val="22"/>
          <w:szCs w:val="22"/>
        </w:rPr>
        <w:t xml:space="preserve"> </w:t>
      </w:r>
      <w:r>
        <w:rPr>
          <w:rFonts w:ascii="Liberation Sans" w:hAnsi="Liberation Sans" w:cs="Liberation Sans"/>
          <w:b/>
          <w:bCs/>
          <w:sz w:val="22"/>
          <w:szCs w:val="22"/>
          <w:highlight w:val="none"/>
        </w:rPr>
      </w:r>
      <w:r>
        <w:rPr>
          <w:rFonts w:ascii="Liberation Sans" w:hAnsi="Liberation Sans" w:cs="Liberation Sans"/>
          <w:b/>
          <w:bCs/>
          <w:sz w:val="22"/>
          <w:szCs w:val="22"/>
          <w:highlight w:val="none"/>
        </w:rPr>
      </w:r>
    </w:p>
    <w:p>
      <w:pPr>
        <w:ind w:left="0" w:right="0" w:firstLine="0"/>
        <w:jc w:val="both"/>
        <w:spacing w:line="240" w:lineRule="auto"/>
        <w:tabs>
          <w:tab w:val="left" w:pos="567" w:leader="none"/>
        </w:tabs>
        <w:rPr>
          <w:rFonts w:ascii="Liberation Sans" w:hAnsi="Liberation Sans" w:cs="Liberation Sans"/>
          <w:i/>
          <w:color w:val="202122"/>
          <w:sz w:val="22"/>
          <w:szCs w:val="22"/>
          <w:shd w:val="clear" w:color="auto" w:fill="ffffff"/>
        </w:rPr>
      </w:pPr>
      <w:r>
        <w:rPr>
          <w:rFonts w:ascii="Liberation Sans" w:hAnsi="Liberation Sans" w:eastAsia="Liberation Sans" w:cs="Liberation Sans"/>
          <w:i/>
          <w:color w:val="202122"/>
          <w:sz w:val="22"/>
          <w:szCs w:val="22"/>
          <w:shd w:val="clear" w:color="auto" w:fill="ffffff"/>
        </w:rPr>
        <w:t xml:space="preserve">Пресс-служба Управления </w:t>
      </w:r>
      <w:r>
        <w:rPr>
          <w:rFonts w:ascii="Liberation Sans" w:hAnsi="Liberation Sans" w:eastAsia="Liberation Sans" w:cs="Liberation Sans"/>
          <w:i/>
          <w:color w:val="202122"/>
          <w:sz w:val="22"/>
          <w:szCs w:val="22"/>
          <w:shd w:val="clear" w:color="auto" w:fill="ffffff"/>
        </w:rPr>
        <w:t xml:space="preserve">Росреестра</w:t>
      </w:r>
      <w:r>
        <w:rPr>
          <w:rFonts w:ascii="Liberation Sans" w:hAnsi="Liberation Sans" w:eastAsia="Liberation Sans" w:cs="Liberation Sans"/>
          <w:i/>
          <w:color w:val="202122"/>
          <w:sz w:val="22"/>
          <w:szCs w:val="22"/>
          <w:shd w:val="clear" w:color="auto" w:fill="ffffff"/>
        </w:rPr>
        <w:t xml:space="preserve"> по Иркутской области</w:t>
      </w:r>
      <w:r>
        <w:rPr>
          <w:rFonts w:ascii="Liberation Sans" w:hAnsi="Liberation Sans" w:cs="Liberation Sans"/>
          <w:i/>
          <w:color w:val="202122"/>
          <w:sz w:val="22"/>
          <w:szCs w:val="22"/>
          <w:shd w:val="clear" w:color="auto" w:fill="ffffff"/>
        </w:rPr>
      </w:r>
      <w:r>
        <w:rPr>
          <w:rFonts w:ascii="Liberation Sans" w:hAnsi="Liberation Sans" w:cs="Liberation Sans"/>
          <w:i/>
          <w:color w:val="202122"/>
          <w:sz w:val="22"/>
          <w:szCs w:val="22"/>
          <w:shd w:val="clear" w:color="auto" w:fill="ffffff"/>
        </w:rPr>
      </w:r>
    </w:p>
    <w:p>
      <w:pPr>
        <w:jc w:val="both"/>
        <w:spacing w:line="240" w:lineRule="auto"/>
        <w:tabs>
          <w:tab w:val="left" w:pos="567" w:leader="none"/>
        </w:tabs>
        <w:rPr>
          <w:rFonts w:ascii="Arial" w:hAnsi="Arial" w:cs="Arial"/>
          <w:i/>
          <w:color w:val="202122"/>
          <w:shd w:val="clear" w:color="auto" w:fill="ffffff"/>
        </w:rPr>
      </w:pPr>
      <w:r>
        <w:rPr>
          <w:rFonts w:ascii="Arial" w:hAnsi="Arial" w:cs="Arial"/>
          <w:i/>
          <w:color w:val="202122"/>
          <w:shd w:val="clear" w:color="auto" w:fill="ffffff"/>
        </w:rPr>
      </w:r>
      <w:r>
        <w:rPr>
          <w:rFonts w:ascii="Arial" w:hAnsi="Arial" w:cs="Arial"/>
          <w:i/>
          <w:color w:val="202122"/>
          <w:shd w:val="clear" w:color="auto" w:fill="ffffff"/>
        </w:rPr>
      </w:r>
      <w:r>
        <w:rPr>
          <w:rFonts w:ascii="Arial" w:hAnsi="Arial" w:cs="Arial"/>
          <w:i/>
          <w:color w:val="202122"/>
          <w:shd w:val="clear" w:color="auto" w:fill="ffffff"/>
        </w:rPr>
      </w:r>
    </w:p>
    <w:sectPr>
      <w:footnotePr/>
      <w:endnotePr/>
      <w:type w:val="nextPage"/>
      <w:pgSz w:w="11906" w:h="16838" w:orient="portrait"/>
      <w:pgMar w:top="709" w:right="849" w:bottom="1134" w:left="1134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ans">
    <w:panose1 w:val="020B0604020202020204"/>
  </w:font>
  <w:font w:name="Times New Roman">
    <w:panose1 w:val="02020603050405020304"/>
  </w:font>
  <w:font w:name="Inter V">
    <w:panose1 w:val="02000603000000000000"/>
  </w:font>
  <w:font w:name="Segoe UI">
    <w:panose1 w:val="020B050204050402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4">
    <w:name w:val="Heading 1"/>
    <w:basedOn w:val="829"/>
    <w:next w:val="829"/>
    <w:link w:val="655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5">
    <w:name w:val="Heading 1 Char"/>
    <w:basedOn w:val="830"/>
    <w:link w:val="654"/>
    <w:uiPriority w:val="9"/>
    <w:rPr>
      <w:rFonts w:ascii="Arial" w:hAnsi="Arial" w:eastAsia="Arial" w:cs="Arial"/>
      <w:sz w:val="40"/>
      <w:szCs w:val="40"/>
    </w:rPr>
  </w:style>
  <w:style w:type="paragraph" w:styleId="656">
    <w:name w:val="Heading 2"/>
    <w:basedOn w:val="829"/>
    <w:next w:val="829"/>
    <w:link w:val="657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7">
    <w:name w:val="Heading 2 Char"/>
    <w:basedOn w:val="830"/>
    <w:link w:val="656"/>
    <w:uiPriority w:val="9"/>
    <w:rPr>
      <w:rFonts w:ascii="Arial" w:hAnsi="Arial" w:eastAsia="Arial" w:cs="Arial"/>
      <w:sz w:val="34"/>
    </w:rPr>
  </w:style>
  <w:style w:type="paragraph" w:styleId="658">
    <w:name w:val="Heading 3"/>
    <w:basedOn w:val="829"/>
    <w:next w:val="829"/>
    <w:link w:val="659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59">
    <w:name w:val="Heading 3 Char"/>
    <w:basedOn w:val="830"/>
    <w:link w:val="658"/>
    <w:uiPriority w:val="9"/>
    <w:rPr>
      <w:rFonts w:ascii="Arial" w:hAnsi="Arial" w:eastAsia="Arial" w:cs="Arial"/>
      <w:sz w:val="30"/>
      <w:szCs w:val="30"/>
    </w:rPr>
  </w:style>
  <w:style w:type="paragraph" w:styleId="660">
    <w:name w:val="Heading 4"/>
    <w:basedOn w:val="829"/>
    <w:next w:val="829"/>
    <w:link w:val="66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1">
    <w:name w:val="Heading 4 Char"/>
    <w:basedOn w:val="830"/>
    <w:link w:val="660"/>
    <w:uiPriority w:val="9"/>
    <w:rPr>
      <w:rFonts w:ascii="Arial" w:hAnsi="Arial" w:eastAsia="Arial" w:cs="Arial"/>
      <w:b/>
      <w:bCs/>
      <w:sz w:val="26"/>
      <w:szCs w:val="26"/>
    </w:rPr>
  </w:style>
  <w:style w:type="paragraph" w:styleId="662">
    <w:name w:val="Heading 5"/>
    <w:basedOn w:val="829"/>
    <w:next w:val="829"/>
    <w:link w:val="663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3">
    <w:name w:val="Heading 5 Char"/>
    <w:basedOn w:val="830"/>
    <w:link w:val="662"/>
    <w:uiPriority w:val="9"/>
    <w:rPr>
      <w:rFonts w:ascii="Arial" w:hAnsi="Arial" w:eastAsia="Arial" w:cs="Arial"/>
      <w:b/>
      <w:bCs/>
      <w:sz w:val="24"/>
      <w:szCs w:val="24"/>
    </w:rPr>
  </w:style>
  <w:style w:type="paragraph" w:styleId="664">
    <w:name w:val="Heading 6"/>
    <w:basedOn w:val="829"/>
    <w:next w:val="829"/>
    <w:link w:val="66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5">
    <w:name w:val="Heading 6 Char"/>
    <w:basedOn w:val="830"/>
    <w:link w:val="664"/>
    <w:uiPriority w:val="9"/>
    <w:rPr>
      <w:rFonts w:ascii="Arial" w:hAnsi="Arial" w:eastAsia="Arial" w:cs="Arial"/>
      <w:b/>
      <w:bCs/>
      <w:sz w:val="22"/>
      <w:szCs w:val="22"/>
    </w:rPr>
  </w:style>
  <w:style w:type="paragraph" w:styleId="666">
    <w:name w:val="Heading 7"/>
    <w:basedOn w:val="829"/>
    <w:next w:val="829"/>
    <w:link w:val="66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7">
    <w:name w:val="Heading 7 Char"/>
    <w:basedOn w:val="830"/>
    <w:link w:val="66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68">
    <w:name w:val="Heading 8"/>
    <w:basedOn w:val="829"/>
    <w:next w:val="829"/>
    <w:link w:val="66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69">
    <w:name w:val="Heading 8 Char"/>
    <w:basedOn w:val="830"/>
    <w:link w:val="668"/>
    <w:uiPriority w:val="9"/>
    <w:rPr>
      <w:rFonts w:ascii="Arial" w:hAnsi="Arial" w:eastAsia="Arial" w:cs="Arial"/>
      <w:i/>
      <w:iCs/>
      <w:sz w:val="22"/>
      <w:szCs w:val="22"/>
    </w:rPr>
  </w:style>
  <w:style w:type="paragraph" w:styleId="670">
    <w:name w:val="Heading 9"/>
    <w:basedOn w:val="829"/>
    <w:next w:val="829"/>
    <w:link w:val="67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1">
    <w:name w:val="Heading 9 Char"/>
    <w:basedOn w:val="830"/>
    <w:link w:val="670"/>
    <w:uiPriority w:val="9"/>
    <w:rPr>
      <w:rFonts w:ascii="Arial" w:hAnsi="Arial" w:eastAsia="Arial" w:cs="Arial"/>
      <w:i/>
      <w:iCs/>
      <w:sz w:val="21"/>
      <w:szCs w:val="21"/>
    </w:rPr>
  </w:style>
  <w:style w:type="paragraph" w:styleId="672">
    <w:name w:val="No Spacing"/>
    <w:uiPriority w:val="1"/>
    <w:qFormat/>
    <w:pPr>
      <w:spacing w:before="0" w:after="0" w:line="240" w:lineRule="auto"/>
    </w:pPr>
  </w:style>
  <w:style w:type="paragraph" w:styleId="673">
    <w:name w:val="Title"/>
    <w:basedOn w:val="829"/>
    <w:next w:val="829"/>
    <w:link w:val="674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4">
    <w:name w:val="Title Char"/>
    <w:basedOn w:val="830"/>
    <w:link w:val="673"/>
    <w:uiPriority w:val="10"/>
    <w:rPr>
      <w:sz w:val="48"/>
      <w:szCs w:val="48"/>
    </w:rPr>
  </w:style>
  <w:style w:type="paragraph" w:styleId="675">
    <w:name w:val="Subtitle"/>
    <w:basedOn w:val="829"/>
    <w:next w:val="829"/>
    <w:link w:val="676"/>
    <w:uiPriority w:val="11"/>
    <w:qFormat/>
    <w:pPr>
      <w:spacing w:before="200" w:after="200"/>
    </w:pPr>
    <w:rPr>
      <w:sz w:val="24"/>
      <w:szCs w:val="24"/>
    </w:rPr>
  </w:style>
  <w:style w:type="character" w:styleId="676">
    <w:name w:val="Subtitle Char"/>
    <w:basedOn w:val="830"/>
    <w:link w:val="675"/>
    <w:uiPriority w:val="11"/>
    <w:rPr>
      <w:sz w:val="24"/>
      <w:szCs w:val="24"/>
    </w:rPr>
  </w:style>
  <w:style w:type="paragraph" w:styleId="677">
    <w:name w:val="Quote"/>
    <w:basedOn w:val="829"/>
    <w:next w:val="829"/>
    <w:link w:val="678"/>
    <w:uiPriority w:val="29"/>
    <w:qFormat/>
    <w:pPr>
      <w:ind w:left="720" w:right="720"/>
    </w:pPr>
    <w:rPr>
      <w:i/>
    </w:rPr>
  </w:style>
  <w:style w:type="character" w:styleId="678">
    <w:name w:val="Quote Char"/>
    <w:link w:val="677"/>
    <w:uiPriority w:val="29"/>
    <w:rPr>
      <w:i/>
    </w:rPr>
  </w:style>
  <w:style w:type="paragraph" w:styleId="679">
    <w:name w:val="Intense Quote"/>
    <w:basedOn w:val="829"/>
    <w:next w:val="829"/>
    <w:link w:val="680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0">
    <w:name w:val="Intense Quote Char"/>
    <w:link w:val="679"/>
    <w:uiPriority w:val="30"/>
    <w:rPr>
      <w:i/>
    </w:rPr>
  </w:style>
  <w:style w:type="paragraph" w:styleId="681">
    <w:name w:val="Header"/>
    <w:basedOn w:val="829"/>
    <w:link w:val="682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2">
    <w:name w:val="Header Char"/>
    <w:basedOn w:val="830"/>
    <w:link w:val="681"/>
    <w:uiPriority w:val="99"/>
  </w:style>
  <w:style w:type="paragraph" w:styleId="683">
    <w:name w:val="Footer"/>
    <w:basedOn w:val="829"/>
    <w:link w:val="68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4">
    <w:name w:val="Footer Char"/>
    <w:basedOn w:val="830"/>
    <w:link w:val="683"/>
    <w:uiPriority w:val="99"/>
  </w:style>
  <w:style w:type="paragraph" w:styleId="685">
    <w:name w:val="Caption"/>
    <w:basedOn w:val="829"/>
    <w:next w:val="829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6">
    <w:name w:val="Caption Char"/>
    <w:basedOn w:val="685"/>
    <w:link w:val="683"/>
    <w:uiPriority w:val="99"/>
  </w:style>
  <w:style w:type="table" w:styleId="687">
    <w:name w:val="Table Grid Light"/>
    <w:basedOn w:val="83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8">
    <w:name w:val="Plain Table 1"/>
    <w:basedOn w:val="83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89">
    <w:name w:val="Plain Table 2"/>
    <w:basedOn w:val="831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0">
    <w:name w:val="Plain Table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1">
    <w:name w:val="Plain Table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2">
    <w:name w:val="Plain Table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3">
    <w:name w:val="Grid Table 1 Light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4">
    <w:name w:val="Grid Table 1 Light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5">
    <w:name w:val="Grid Table 1 Light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1">
    <w:name w:val="Grid Table 2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2">
    <w:name w:val="Grid Table 2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3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4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5">
    <w:name w:val="Grid Table 4 - Accent 1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6">
    <w:name w:val="Grid Table 4 - Accent 2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7">
    <w:name w:val="Grid Table 4 - Accent 3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18">
    <w:name w:val="Grid Table 4 - Accent 4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19">
    <w:name w:val="Grid Table 4 - Accent 5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0">
    <w:name w:val="Grid Table 4 - Accent 6"/>
    <w:basedOn w:val="83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1">
    <w:name w:val="Grid Table 5 Dark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2">
    <w:name w:val="Grid Table 5 Dark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23">
    <w:name w:val="Grid Table 5 Dark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24">
    <w:name w:val="Grid Table 5 Dark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25">
    <w:name w:val="Grid Table 5 Dark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26">
    <w:name w:val="Grid Table 5 Dark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27">
    <w:name w:val="Grid Table 5 Dark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28">
    <w:name w:val="Grid Table 6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29">
    <w:name w:val="Grid Table 6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0">
    <w:name w:val="Grid Table 6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1">
    <w:name w:val="Grid Table 6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2">
    <w:name w:val="Grid Table 6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3">
    <w:name w:val="Grid Table 6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4">
    <w:name w:val="Grid Table 6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5">
    <w:name w:val="Grid Table 7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7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7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List Table 1 Light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List Table 1 Light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0">
    <w:name w:val="List Table 2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1">
    <w:name w:val="List Table 2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2">
    <w:name w:val="List Table 2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3">
    <w:name w:val="List Table 2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4">
    <w:name w:val="List Table 2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5">
    <w:name w:val="List Table 2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6">
    <w:name w:val="List Table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7">
    <w:name w:val="List Table 3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List Table 3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4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5 Dark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1">
    <w:name w:val="List Table 5 Dark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2">
    <w:name w:val="List Table 5 Dark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3">
    <w:name w:val="List Table 5 Dark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6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78">
    <w:name w:val="List Table 6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79">
    <w:name w:val="List Table 6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0">
    <w:name w:val="List Table 6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1">
    <w:name w:val="List Table 6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2">
    <w:name w:val="List Table 6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3">
    <w:name w:val="List Table 6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4">
    <w:name w:val="List Table 7 Colorful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5">
    <w:name w:val="List Table 7 Colorful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786">
    <w:name w:val="List Table 7 Colorful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87">
    <w:name w:val="List Table 7 Colorful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88">
    <w:name w:val="List Table 7 Colorful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89">
    <w:name w:val="List Table 7 Colorful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790">
    <w:name w:val="List Table 7 Colorful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91">
    <w:name w:val="Lined - Accent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2">
    <w:name w:val="Lined - Accent 1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93">
    <w:name w:val="Lined - Accent 2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94">
    <w:name w:val="Lined - Accent 3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95">
    <w:name w:val="Lined - Accent 4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96">
    <w:name w:val="Lined - Accent 5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797">
    <w:name w:val="Lined - Accent 6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798">
    <w:name w:val="Bordered &amp; Lined - Accent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9">
    <w:name w:val="Bordered &amp; Lined - Accent 1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0">
    <w:name w:val="Bordered &amp; Lined - Accent 2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1">
    <w:name w:val="Bordered &amp; Lined - Accent 3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2">
    <w:name w:val="Bordered &amp; Lined - Accent 4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3">
    <w:name w:val="Bordered &amp; Lined - Accent 5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4">
    <w:name w:val="Bordered &amp; Lined - Accent 6"/>
    <w:basedOn w:val="83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5">
    <w:name w:val="Bordered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6">
    <w:name w:val="Bordered - Accent 1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7">
    <w:name w:val="Bordered - Accent 2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08">
    <w:name w:val="Bordered - Accent 3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09">
    <w:name w:val="Bordered - Accent 4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0">
    <w:name w:val="Bordered - Accent 5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1">
    <w:name w:val="Bordered - Accent 6"/>
    <w:basedOn w:val="83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12">
    <w:name w:val="footnote text"/>
    <w:basedOn w:val="829"/>
    <w:link w:val="813"/>
    <w:uiPriority w:val="99"/>
    <w:semiHidden/>
    <w:unhideWhenUsed/>
    <w:pPr>
      <w:spacing w:after="40" w:line="240" w:lineRule="auto"/>
    </w:pPr>
    <w:rPr>
      <w:sz w:val="18"/>
    </w:rPr>
  </w:style>
  <w:style w:type="character" w:styleId="813">
    <w:name w:val="Footnote Text Char"/>
    <w:link w:val="812"/>
    <w:uiPriority w:val="99"/>
    <w:rPr>
      <w:sz w:val="18"/>
    </w:rPr>
  </w:style>
  <w:style w:type="character" w:styleId="814">
    <w:name w:val="footnote reference"/>
    <w:basedOn w:val="830"/>
    <w:uiPriority w:val="99"/>
    <w:unhideWhenUsed/>
    <w:rPr>
      <w:vertAlign w:val="superscript"/>
    </w:rPr>
  </w:style>
  <w:style w:type="paragraph" w:styleId="815">
    <w:name w:val="endnote text"/>
    <w:basedOn w:val="829"/>
    <w:link w:val="816"/>
    <w:uiPriority w:val="99"/>
    <w:semiHidden/>
    <w:unhideWhenUsed/>
    <w:pPr>
      <w:spacing w:after="0" w:line="240" w:lineRule="auto"/>
    </w:pPr>
    <w:rPr>
      <w:sz w:val="20"/>
    </w:rPr>
  </w:style>
  <w:style w:type="character" w:styleId="816">
    <w:name w:val="Endnote Text Char"/>
    <w:link w:val="815"/>
    <w:uiPriority w:val="99"/>
    <w:rPr>
      <w:sz w:val="20"/>
    </w:rPr>
  </w:style>
  <w:style w:type="character" w:styleId="817">
    <w:name w:val="endnote reference"/>
    <w:basedOn w:val="830"/>
    <w:uiPriority w:val="99"/>
    <w:semiHidden/>
    <w:unhideWhenUsed/>
    <w:rPr>
      <w:vertAlign w:val="superscript"/>
    </w:rPr>
  </w:style>
  <w:style w:type="paragraph" w:styleId="818">
    <w:name w:val="toc 1"/>
    <w:basedOn w:val="829"/>
    <w:next w:val="829"/>
    <w:uiPriority w:val="39"/>
    <w:unhideWhenUsed/>
    <w:pPr>
      <w:ind w:left="0" w:right="0" w:firstLine="0"/>
      <w:spacing w:after="57"/>
    </w:pPr>
  </w:style>
  <w:style w:type="paragraph" w:styleId="819">
    <w:name w:val="toc 2"/>
    <w:basedOn w:val="829"/>
    <w:next w:val="829"/>
    <w:uiPriority w:val="39"/>
    <w:unhideWhenUsed/>
    <w:pPr>
      <w:ind w:left="283" w:right="0" w:firstLine="0"/>
      <w:spacing w:after="57"/>
    </w:pPr>
  </w:style>
  <w:style w:type="paragraph" w:styleId="820">
    <w:name w:val="toc 3"/>
    <w:basedOn w:val="829"/>
    <w:next w:val="829"/>
    <w:uiPriority w:val="39"/>
    <w:unhideWhenUsed/>
    <w:pPr>
      <w:ind w:left="567" w:right="0" w:firstLine="0"/>
      <w:spacing w:after="57"/>
    </w:pPr>
  </w:style>
  <w:style w:type="paragraph" w:styleId="821">
    <w:name w:val="toc 4"/>
    <w:basedOn w:val="829"/>
    <w:next w:val="829"/>
    <w:uiPriority w:val="39"/>
    <w:unhideWhenUsed/>
    <w:pPr>
      <w:ind w:left="850" w:right="0" w:firstLine="0"/>
      <w:spacing w:after="57"/>
    </w:pPr>
  </w:style>
  <w:style w:type="paragraph" w:styleId="822">
    <w:name w:val="toc 5"/>
    <w:basedOn w:val="829"/>
    <w:next w:val="829"/>
    <w:uiPriority w:val="39"/>
    <w:unhideWhenUsed/>
    <w:pPr>
      <w:ind w:left="1134" w:right="0" w:firstLine="0"/>
      <w:spacing w:after="57"/>
    </w:pPr>
  </w:style>
  <w:style w:type="paragraph" w:styleId="823">
    <w:name w:val="toc 6"/>
    <w:basedOn w:val="829"/>
    <w:next w:val="829"/>
    <w:uiPriority w:val="39"/>
    <w:unhideWhenUsed/>
    <w:pPr>
      <w:ind w:left="1417" w:right="0" w:firstLine="0"/>
      <w:spacing w:after="57"/>
    </w:pPr>
  </w:style>
  <w:style w:type="paragraph" w:styleId="824">
    <w:name w:val="toc 7"/>
    <w:basedOn w:val="829"/>
    <w:next w:val="829"/>
    <w:uiPriority w:val="39"/>
    <w:unhideWhenUsed/>
    <w:pPr>
      <w:ind w:left="1701" w:right="0" w:firstLine="0"/>
      <w:spacing w:after="57"/>
    </w:pPr>
  </w:style>
  <w:style w:type="paragraph" w:styleId="825">
    <w:name w:val="toc 8"/>
    <w:basedOn w:val="829"/>
    <w:next w:val="829"/>
    <w:uiPriority w:val="39"/>
    <w:unhideWhenUsed/>
    <w:pPr>
      <w:ind w:left="1984" w:right="0" w:firstLine="0"/>
      <w:spacing w:after="57"/>
    </w:pPr>
  </w:style>
  <w:style w:type="paragraph" w:styleId="826">
    <w:name w:val="toc 9"/>
    <w:basedOn w:val="829"/>
    <w:next w:val="829"/>
    <w:uiPriority w:val="39"/>
    <w:unhideWhenUsed/>
    <w:pPr>
      <w:ind w:left="2268" w:right="0" w:firstLine="0"/>
      <w:spacing w:after="57"/>
    </w:pPr>
  </w:style>
  <w:style w:type="paragraph" w:styleId="827">
    <w:name w:val="TOC Heading"/>
    <w:uiPriority w:val="39"/>
    <w:unhideWhenUsed/>
  </w:style>
  <w:style w:type="paragraph" w:styleId="828">
    <w:name w:val="table of figures"/>
    <w:basedOn w:val="829"/>
    <w:next w:val="829"/>
    <w:uiPriority w:val="99"/>
    <w:unhideWhenUsed/>
    <w:pPr>
      <w:spacing w:after="0" w:afterAutospacing="0"/>
    </w:pPr>
  </w:style>
  <w:style w:type="paragraph" w:styleId="829" w:default="1">
    <w:name w:val="Normal"/>
    <w:qFormat/>
  </w:style>
  <w:style w:type="character" w:styleId="830" w:default="1">
    <w:name w:val="Default Paragraph Font"/>
    <w:uiPriority w:val="1"/>
    <w:semiHidden/>
    <w:unhideWhenUsed/>
  </w:style>
  <w:style w:type="table" w:styleId="83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2" w:default="1">
    <w:name w:val="No List"/>
    <w:uiPriority w:val="99"/>
    <w:semiHidden/>
    <w:unhideWhenUsed/>
  </w:style>
  <w:style w:type="paragraph" w:styleId="833">
    <w:name w:val="Balloon Text"/>
    <w:basedOn w:val="829"/>
    <w:link w:val="834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834" w:customStyle="1">
    <w:name w:val="Текст выноски Знак"/>
    <w:basedOn w:val="830"/>
    <w:link w:val="833"/>
    <w:uiPriority w:val="99"/>
    <w:semiHidden/>
    <w:rPr>
      <w:rFonts w:ascii="Segoe UI" w:hAnsi="Segoe UI" w:cs="Segoe UI"/>
      <w:sz w:val="18"/>
      <w:szCs w:val="18"/>
    </w:rPr>
  </w:style>
  <w:style w:type="character" w:styleId="835">
    <w:name w:val="Hyperlink"/>
    <w:basedOn w:val="830"/>
    <w:uiPriority w:val="99"/>
    <w:unhideWhenUsed/>
    <w:rPr>
      <w:color w:val="0563c1" w:themeColor="hyperlink"/>
      <w:u w:val="single"/>
    </w:rPr>
  </w:style>
  <w:style w:type="paragraph" w:styleId="836">
    <w:name w:val="List Paragraph"/>
    <w:basedOn w:val="829"/>
    <w:uiPriority w:val="34"/>
    <w:qFormat/>
    <w:pPr>
      <w:contextualSpacing/>
      <w:ind w:left="720"/>
    </w:pPr>
  </w:style>
  <w:style w:type="table" w:styleId="837">
    <w:name w:val="Table Grid"/>
    <w:basedOn w:val="831"/>
    <w:uiPriority w:val="3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838" w:customStyle="1">
    <w:name w:val="object"/>
    <w:basedOn w:val="830"/>
  </w:style>
  <w:style w:type="paragraph" w:styleId="839">
    <w:name w:val="Normal (Web)"/>
    <w:basedOn w:val="829"/>
    <w:uiPriority w:val="99"/>
    <w:unhideWhenUsed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image" Target="media/image1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Р7-Офис/2024.3.1.523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Гоманенко Галина Васильевна</dc:creator>
  <cp:keywords>Единый ресурс о земле и недвижимости</cp:keywords>
  <dc:description/>
  <cp:revision>35</cp:revision>
  <dcterms:created xsi:type="dcterms:W3CDTF">2022-05-25T09:41:00Z</dcterms:created>
  <dcterms:modified xsi:type="dcterms:W3CDTF">2025-07-04T02:33:12Z</dcterms:modified>
</cp:coreProperties>
</file>