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7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>
        <w:tblPrEx/>
        <w:trPr>
          <w:trHeight w:val="426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Inter V" w:hAnsi="Inter V" w:cs="Times New Roman"/>
                <w:b/>
                <w:sz w:val="28"/>
                <w:szCs w:val="28"/>
              </w:rPr>
            </w:pPr>
            <w:r>
              <w:rPr>
                <w:rFonts w:ascii="Inter V" w:hAnsi="Inter V" w:cs="Times New Roman"/>
                <w:b/>
                <w:sz w:val="28"/>
                <w:szCs w:val="28"/>
              </w:rPr>
            </w:r>
            <w:r>
              <w:rPr>
                <w:rFonts w:ascii="Inter V" w:hAnsi="Inter V" w:cs="Times New Roman"/>
                <w:b/>
                <w:sz w:val="28"/>
                <w:szCs w:val="28"/>
              </w:rPr>
            </w:r>
            <w:r>
              <w:rPr>
                <w:rFonts w:ascii="Inter V" w:hAnsi="Inter V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26780" cy="942975"/>
                      <wp:effectExtent l="0" t="0" r="2540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81727" cy="9662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75.34pt;height:74.25pt;mso-wrap-distance-left:0.00pt;mso-wrap-distance-top:0.00pt;mso-wrap-distance-right:0.00pt;mso-wrap-distance-bottom:0.00pt;" stroked="f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  <w:t xml:space="preserve">2 сентября 2026</w:t>
      </w: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</w:p>
    <w:p>
      <w:pPr>
        <w:ind w:left="30" w:right="30" w:hanging="30"/>
        <w:jc w:val="both"/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highlight w:val="none"/>
        </w:rPr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</w:p>
    <w:p>
      <w:pPr>
        <w:ind w:left="0" w:right="0" w:firstLine="709"/>
        <w:jc w:val="both"/>
        <w:spacing w:after="0" w:afterAutospacing="0" w:line="252" w:lineRule="auto"/>
        <w:rPr>
          <w:b/>
          <w:bCs/>
        </w:rPr>
      </w:pPr>
      <w:r>
        <w:rPr>
          <w:rFonts w:ascii="PT Astra Serif" w:hAnsi="PT Astra Serif" w:cs="PT Astra Serif"/>
          <w:b/>
          <w:bCs/>
          <w:sz w:val="26"/>
          <w:szCs w:val="26"/>
        </w:rPr>
        <w:t xml:space="preserve">Чем садовый участок отличается от огородного?</w:t>
      </w:r>
      <w:r>
        <w:rPr>
          <w:rFonts w:ascii="PT Astra Serif" w:hAnsi="PT Astra Serif" w:cs="PT Astra Serif"/>
          <w:b/>
          <w:bCs/>
          <w:sz w:val="26"/>
          <w:szCs w:val="26"/>
        </w:rPr>
      </w:r>
      <w:r>
        <w:rPr>
          <w:b/>
          <w:bCs/>
        </w:rPr>
      </w:r>
    </w:p>
    <w:p>
      <w:pPr>
        <w:ind w:left="0" w:right="0" w:firstLine="709"/>
        <w:jc w:val="both"/>
        <w:spacing w:after="0" w:afterAutospacing="0" w:line="252" w:lineRule="auto"/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/>
    </w:p>
    <w:p>
      <w:pPr>
        <w:ind w:left="0" w:right="0" w:firstLine="709"/>
        <w:jc w:val="both"/>
        <w:spacing w:after="0" w:afterAutospacing="0" w:line="252" w:lineRule="auto"/>
      </w:pPr>
      <w:r>
        <w:rPr>
          <w:rFonts w:ascii="PT Astra Serif" w:hAnsi="PT Astra Serif" w:cs="PT Astra Serif"/>
          <w:sz w:val="26"/>
          <w:szCs w:val="26"/>
        </w:rPr>
        <w:t xml:space="preserve">Для каждого земельного участка установлен вид разрешенного использования, который подсказывает для каких целей участок можно использовать.</w:t>
      </w:r>
      <w:r>
        <w:rPr>
          <w:rFonts w:ascii="PT Astra Serif" w:hAnsi="PT Astra Serif" w:cs="PT Astra Serif"/>
          <w:sz w:val="26"/>
          <w:szCs w:val="26"/>
        </w:rPr>
      </w:r>
      <w:r/>
    </w:p>
    <w:p>
      <w:pPr>
        <w:ind w:left="0" w:right="0" w:firstLine="709"/>
        <w:jc w:val="both"/>
        <w:spacing w:after="0" w:afterAutospacing="0" w:line="252" w:lineRule="auto"/>
      </w:pPr>
      <w:r>
        <w:rPr>
          <w:rFonts w:ascii="PT Astra Serif" w:hAnsi="PT Astra Serif" w:cs="PT Astra Serif"/>
          <w:sz w:val="26"/>
          <w:szCs w:val="26"/>
        </w:rPr>
        <w:t xml:space="preserve">Управление Росреестра по Иркутской области разъясняет отличие в использовании садовых и огородных участков.</w:t>
      </w:r>
      <w:r>
        <w:rPr>
          <w:rFonts w:ascii="PT Astra Serif" w:hAnsi="PT Astra Serif" w:cs="PT Astra Serif"/>
          <w:sz w:val="26"/>
          <w:szCs w:val="26"/>
        </w:rPr>
      </w:r>
      <w:r/>
    </w:p>
    <w:p>
      <w:pPr>
        <w:ind w:left="0" w:right="0" w:firstLine="709"/>
        <w:jc w:val="both"/>
        <w:spacing w:after="0" w:afterAutospacing="0" w:line="252" w:lineRule="auto"/>
      </w:pPr>
      <w:r>
        <w:rPr>
          <w:rFonts w:ascii="PT Astra Serif" w:hAnsi="PT Astra Serif" w:cs="PT Astra Serif"/>
          <w:sz w:val="26"/>
          <w:szCs w:val="26"/>
        </w:rPr>
        <w:t xml:space="preserve">Садовый земельный участок – это участок, предназначенный для отдыха или выращивания для собственных нужд сельскохозяйственных культур. При этом на садовом участке разрешается строить садовые дома, а также жилые дома, хозяйственные постройки и гаражи.</w:t>
      </w:r>
      <w:r>
        <w:rPr>
          <w:rFonts w:ascii="PT Astra Serif" w:hAnsi="PT Astra Serif" w:cs="PT Astra Serif"/>
          <w:sz w:val="26"/>
          <w:szCs w:val="26"/>
        </w:rPr>
      </w:r>
      <w:r/>
    </w:p>
    <w:p>
      <w:pPr>
        <w:ind w:left="0" w:right="0" w:firstLine="709"/>
        <w:jc w:val="both"/>
        <w:spacing w:after="0" w:afterAutospacing="0" w:line="252" w:lineRule="auto"/>
      </w:pPr>
      <w:r>
        <w:rPr>
          <w:rFonts w:ascii="PT Astra Serif" w:hAnsi="PT Astra Serif" w:cs="PT Astra Serif"/>
          <w:sz w:val="26"/>
          <w:szCs w:val="26"/>
        </w:rPr>
        <w:t xml:space="preserve">В</w:t>
      </w:r>
      <w:r>
        <w:rPr>
          <w:rFonts w:ascii="PT Astra Serif" w:hAnsi="PT Astra Serif" w:cs="PT Astra Serif"/>
          <w:sz w:val="26"/>
          <w:szCs w:val="26"/>
        </w:rPr>
        <w:t xml:space="preserve"> отличие от этого, огородный земельный участок предназначен только для отдыха или выращивания для собственных нужд сельскохозяйственных культур с правом размещения хозяйственных построек, не являющихся объектами недвижимости, предназначенных для хранения и</w:t>
      </w:r>
      <w:r>
        <w:rPr>
          <w:rFonts w:ascii="PT Astra Serif" w:hAnsi="PT Astra Serif" w:cs="PT Astra Serif"/>
          <w:sz w:val="26"/>
          <w:szCs w:val="26"/>
        </w:rPr>
        <w:t xml:space="preserve">нвентаря и урожая сельскохозяйственных культур.</w:t>
      </w:r>
      <w:r>
        <w:rPr>
          <w:rFonts w:ascii="PT Astra Serif" w:hAnsi="PT Astra Serif" w:cs="PT Astra Serif"/>
          <w:sz w:val="26"/>
          <w:szCs w:val="26"/>
        </w:rPr>
      </w:r>
      <w:r/>
    </w:p>
    <w:p>
      <w:pPr>
        <w:ind w:left="0" w:right="0" w:firstLine="709"/>
        <w:jc w:val="both"/>
        <w:spacing w:after="0" w:afterAutospacing="0" w:line="252" w:lineRule="auto"/>
      </w:pPr>
      <w:r>
        <w:rPr>
          <w:rFonts w:ascii="PT Astra Serif" w:hAnsi="PT Astra Serif" w:cs="PT Astra Serif"/>
          <w:sz w:val="26"/>
          <w:szCs w:val="26"/>
        </w:rPr>
        <w:t xml:space="preserve">Таким образом, на огородном участке нельзя возводить садовые или жилые дома, гаражи и другие объекты недвижимости.</w:t>
      </w:r>
      <w:r>
        <w:rPr>
          <w:rFonts w:ascii="PT Astra Serif" w:hAnsi="PT Astra Serif" w:cs="PT Astra Serif"/>
          <w:sz w:val="26"/>
          <w:szCs w:val="26"/>
        </w:rPr>
      </w:r>
      <w:r/>
    </w:p>
    <w:p>
      <w:pPr>
        <w:ind w:left="0" w:right="0" w:firstLine="709"/>
        <w:jc w:val="both"/>
        <w:spacing w:after="0" w:afterAutospacing="0" w:line="252" w:lineRule="auto"/>
      </w:pPr>
      <w:r>
        <w:rPr>
          <w:rFonts w:ascii="PT Astra Serif" w:hAnsi="PT Astra Serif" w:cs="PT Astra Serif"/>
          <w:sz w:val="26"/>
          <w:szCs w:val="26"/>
        </w:rPr>
        <w:t xml:space="preserve">К</w:t>
      </w:r>
      <w:r>
        <w:rPr>
          <w:rFonts w:ascii="PT Astra Serif" w:hAnsi="PT Astra Serif" w:cs="PT Astra Serif"/>
          <w:sz w:val="26"/>
          <w:szCs w:val="26"/>
        </w:rPr>
        <w:t xml:space="preserve">ак поясняет заместитель руководителя Управления Росреестра по Иркутской области Оксана Викторовна Арсентьева, такая характеристика участка, как основной вид разрешенного использования, в обязательном порядке вносится в Единый государственный реестр недвижи</w:t>
      </w:r>
      <w:r>
        <w:rPr>
          <w:rFonts w:ascii="PT Astra Serif" w:hAnsi="PT Astra Serif" w:cs="PT Astra Serif"/>
          <w:sz w:val="26"/>
          <w:szCs w:val="26"/>
        </w:rPr>
        <w:t xml:space="preserve">мости, тем самым, соблюдение правил использования участка обязательно для его собственников и пользователей.</w:t>
      </w:r>
      <w:r>
        <w:rPr>
          <w:rFonts w:ascii="PT Astra Serif" w:hAnsi="PT Astra Serif" w:cs="PT Astra Serif"/>
          <w:sz w:val="26"/>
          <w:szCs w:val="26"/>
        </w:rPr>
      </w:r>
      <w:r/>
    </w:p>
    <w:p>
      <w:pPr>
        <w:ind w:left="0" w:right="0" w:firstLine="709"/>
        <w:jc w:val="both"/>
        <w:spacing w:after="0" w:afterAutospacing="0" w:line="252" w:lineRule="auto"/>
      </w:pPr>
      <w:r>
        <w:rPr>
          <w:rFonts w:ascii="PT Astra Serif" w:hAnsi="PT Astra Serif" w:cs="PT Astra Serif"/>
          <w:sz w:val="26"/>
          <w:szCs w:val="26"/>
        </w:rPr>
        <w:t xml:space="preserve">О</w:t>
      </w:r>
      <w:r>
        <w:rPr>
          <w:rFonts w:ascii="PT Astra Serif" w:hAnsi="PT Astra Serif" w:cs="PT Astra Serif"/>
          <w:sz w:val="26"/>
          <w:szCs w:val="26"/>
        </w:rPr>
        <w:t xml:space="preserve">тметим также, что вид разрешенного использования собственник может изменить самостоятельно, но при этом можно выбрать только такое использование, которое предусмотрено Правилами землепользования и застройки, установленными для данной территории органом мес</w:t>
      </w:r>
      <w:r>
        <w:rPr>
          <w:rFonts w:ascii="PT Astra Serif" w:hAnsi="PT Astra Serif" w:cs="PT Astra Serif"/>
          <w:sz w:val="26"/>
          <w:szCs w:val="26"/>
        </w:rPr>
        <w:t xml:space="preserve">тного самоуправления.</w:t>
      </w:r>
      <w:r>
        <w:rPr>
          <w:rFonts w:ascii="PT Astra Serif" w:hAnsi="PT Astra Serif" w:cs="PT Astra Serif"/>
          <w:sz w:val="26"/>
          <w:szCs w:val="26"/>
        </w:rPr>
      </w:r>
      <w:r/>
    </w:p>
    <w:p>
      <w:pPr>
        <w:ind w:left="0" w:right="0" w:firstLine="709"/>
        <w:jc w:val="both"/>
        <w:spacing w:after="0" w:afterAutospacing="0" w:line="252" w:lineRule="auto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 xml:space="preserve">Таким образом, при приобретении участка обратите особое внимание на вид разрешенного использования, чтобы заранее понимать, что вы сможете делать на этом участке.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2" w:firstLine="0"/>
        <w:jc w:val="both"/>
        <w:spacing w:line="276" w:lineRule="auto"/>
        <w:rPr>
          <w:rFonts w:ascii="Liberation Sans" w:hAnsi="Liberation Sans" w:cs="Liberation Sans"/>
          <w:b w:val="0"/>
          <w:bCs w:val="0"/>
          <w:sz w:val="26"/>
          <w:szCs w:val="26"/>
        </w:rPr>
      </w:pPr>
      <w:r>
        <w:rPr>
          <w:rFonts w:ascii="Liberation Sans" w:hAnsi="Liberation Sans" w:cs="Liberation Sans"/>
          <w:b w:val="0"/>
          <w:bCs w:val="0"/>
          <w:sz w:val="26"/>
          <w:szCs w:val="26"/>
        </w:rPr>
      </w:r>
      <w:r>
        <w:rPr>
          <w:rFonts w:ascii="Liberation Sans" w:hAnsi="Liberation Sans" w:cs="Liberation Sans"/>
          <w:b w:val="0"/>
          <w:bCs w:val="0"/>
          <w:sz w:val="26"/>
          <w:szCs w:val="26"/>
        </w:rPr>
      </w:r>
      <w:r>
        <w:rPr>
          <w:rFonts w:ascii="Liberation Sans" w:hAnsi="Liberation Sans" w:cs="Liberation Sans"/>
          <w:b w:val="0"/>
          <w:bCs w:val="0"/>
          <w:sz w:val="26"/>
          <w:szCs w:val="26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  <w:color w:val="202122"/>
          <w:sz w:val="24"/>
          <w:szCs w:val="24"/>
        </w:rPr>
      </w:pPr>
      <w:r>
        <w:rPr>
          <w:rFonts w:ascii="Liberation Sans" w:hAnsi="Liberation Sans" w:eastAsia="Liberation Sans" w:cs="Liberation Sans"/>
          <w:color w:val="202122"/>
          <w:sz w:val="24"/>
          <w:szCs w:val="24"/>
          <w:shd w:val="clear" w:color="auto" w:fill="ffffff"/>
        </w:rPr>
      </w:r>
      <w:r>
        <w:rPr>
          <w:rFonts w:ascii="Liberation Sans" w:hAnsi="Liberation Sans" w:cs="Liberation Sans"/>
          <w:color w:val="202122"/>
          <w:sz w:val="24"/>
          <w:szCs w:val="24"/>
        </w:rPr>
      </w:r>
      <w:r>
        <w:rPr>
          <w:rFonts w:ascii="Liberation Sans" w:hAnsi="Liberation Sans" w:cs="Liberation Sans"/>
          <w:color w:val="202122"/>
          <w:sz w:val="24"/>
          <w:szCs w:val="24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Liberation Sans" w:hAnsi="Liberation Sans" w:cs="Liberation Sans"/>
          <w:i/>
          <w:color w:val="202122"/>
          <w:sz w:val="24"/>
          <w:szCs w:val="24"/>
          <w:shd w:val="clear" w:color="auto" w:fill="ffffff"/>
        </w:rPr>
      </w:pPr>
      <w:r>
        <w:rPr>
          <w:rFonts w:ascii="Liberation Sans" w:hAnsi="Liberation Sans" w:eastAsia="Liberation Sans" w:cs="Liberation Sans"/>
          <w:i/>
          <w:color w:val="202122"/>
          <w:sz w:val="24"/>
          <w:szCs w:val="24"/>
          <w:shd w:val="clear" w:color="auto" w:fill="ffffff"/>
        </w:rPr>
        <w:t xml:space="preserve">Пресс-служба Управления </w:t>
      </w:r>
      <w:r>
        <w:rPr>
          <w:rFonts w:ascii="Liberation Sans" w:hAnsi="Liberation Sans" w:eastAsia="Liberation Sans" w:cs="Liberation Sans"/>
          <w:i/>
          <w:color w:val="202122"/>
          <w:sz w:val="24"/>
          <w:szCs w:val="24"/>
          <w:shd w:val="clear" w:color="auto" w:fill="ffffff"/>
        </w:rPr>
        <w:t xml:space="preserve">Росреестра</w:t>
      </w:r>
      <w:r>
        <w:rPr>
          <w:rFonts w:ascii="Liberation Sans" w:hAnsi="Liberation Sans" w:eastAsia="Liberation Sans" w:cs="Liberation Sans"/>
          <w:i/>
          <w:color w:val="202122"/>
          <w:sz w:val="24"/>
          <w:szCs w:val="24"/>
          <w:shd w:val="clear" w:color="auto" w:fill="ffffff"/>
        </w:rPr>
        <w:t xml:space="preserve"> по Иркутской области</w:t>
      </w:r>
      <w:r>
        <w:rPr>
          <w:rFonts w:ascii="Liberation Sans" w:hAnsi="Liberation Sans" w:cs="Liberation Sans"/>
          <w:i/>
          <w:color w:val="202122"/>
          <w:sz w:val="24"/>
          <w:szCs w:val="24"/>
          <w:shd w:val="clear" w:color="auto" w:fill="ffffff"/>
        </w:rPr>
      </w:r>
      <w:r>
        <w:rPr>
          <w:rFonts w:ascii="Liberation Sans" w:hAnsi="Liberation Sans" w:cs="Liberation Sans"/>
          <w:i/>
          <w:color w:val="202122"/>
          <w:sz w:val="24"/>
          <w:szCs w:val="24"/>
          <w:shd w:val="clear" w:color="auto" w:fill="ffffff"/>
        </w:rPr>
      </w:r>
    </w:p>
    <w:sectPr>
      <w:footnotePr/>
      <w:endnotePr/>
      <w:type w:val="nextPage"/>
      <w:pgSz w:w="11906" w:h="16838" w:orient="portrait"/>
      <w:pgMar w:top="709" w:right="849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29"/>
    <w:next w:val="829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0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29"/>
    <w:next w:val="829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0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29"/>
    <w:next w:val="829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0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29"/>
    <w:next w:val="829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0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29"/>
    <w:next w:val="829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0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29"/>
    <w:next w:val="829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0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29"/>
    <w:next w:val="829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0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29"/>
    <w:next w:val="829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0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29"/>
    <w:next w:val="829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0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No Spacing"/>
    <w:uiPriority w:val="1"/>
    <w:qFormat/>
    <w:pPr>
      <w:spacing w:before="0" w:after="0" w:line="240" w:lineRule="auto"/>
    </w:pPr>
  </w:style>
  <w:style w:type="paragraph" w:styleId="673">
    <w:name w:val="Title"/>
    <w:basedOn w:val="829"/>
    <w:next w:val="829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basedOn w:val="830"/>
    <w:link w:val="673"/>
    <w:uiPriority w:val="10"/>
    <w:rPr>
      <w:sz w:val="48"/>
      <w:szCs w:val="48"/>
    </w:rPr>
  </w:style>
  <w:style w:type="paragraph" w:styleId="675">
    <w:name w:val="Subtitle"/>
    <w:basedOn w:val="829"/>
    <w:next w:val="829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basedOn w:val="830"/>
    <w:link w:val="675"/>
    <w:uiPriority w:val="11"/>
    <w:rPr>
      <w:sz w:val="24"/>
      <w:szCs w:val="24"/>
    </w:rPr>
  </w:style>
  <w:style w:type="paragraph" w:styleId="677">
    <w:name w:val="Quote"/>
    <w:basedOn w:val="829"/>
    <w:next w:val="829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29"/>
    <w:next w:val="829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29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basedOn w:val="830"/>
    <w:link w:val="681"/>
    <w:uiPriority w:val="99"/>
  </w:style>
  <w:style w:type="paragraph" w:styleId="683">
    <w:name w:val="Footer"/>
    <w:basedOn w:val="829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basedOn w:val="830"/>
    <w:link w:val="683"/>
    <w:uiPriority w:val="99"/>
  </w:style>
  <w:style w:type="paragraph" w:styleId="685">
    <w:name w:val="Caption"/>
    <w:basedOn w:val="829"/>
    <w:next w:val="829"/>
    <w:link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685"/>
    <w:link w:val="683"/>
    <w:uiPriority w:val="99"/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2">
    <w:name w:val="footnote text"/>
    <w:basedOn w:val="829"/>
    <w:link w:val="813"/>
    <w:uiPriority w:val="99"/>
    <w:semiHidden/>
    <w:unhideWhenUsed/>
    <w:pPr>
      <w:spacing w:after="40" w:line="240" w:lineRule="auto"/>
    </w:pPr>
    <w:rPr>
      <w:sz w:val="18"/>
    </w:rPr>
  </w:style>
  <w:style w:type="character" w:styleId="813">
    <w:name w:val="Footnote Text Char"/>
    <w:link w:val="812"/>
    <w:uiPriority w:val="99"/>
    <w:rPr>
      <w:sz w:val="18"/>
    </w:rPr>
  </w:style>
  <w:style w:type="character" w:styleId="814">
    <w:name w:val="footnote reference"/>
    <w:basedOn w:val="830"/>
    <w:uiPriority w:val="99"/>
    <w:unhideWhenUsed/>
    <w:rPr>
      <w:vertAlign w:val="superscript"/>
    </w:rPr>
  </w:style>
  <w:style w:type="paragraph" w:styleId="815">
    <w:name w:val="endnote text"/>
    <w:basedOn w:val="829"/>
    <w:link w:val="816"/>
    <w:uiPriority w:val="99"/>
    <w:semiHidden/>
    <w:unhideWhenUsed/>
    <w:pPr>
      <w:spacing w:after="0" w:line="240" w:lineRule="auto"/>
    </w:pPr>
    <w:rPr>
      <w:sz w:val="20"/>
    </w:rPr>
  </w:style>
  <w:style w:type="character" w:styleId="816">
    <w:name w:val="Endnote Text Char"/>
    <w:link w:val="815"/>
    <w:uiPriority w:val="99"/>
    <w:rPr>
      <w:sz w:val="20"/>
    </w:rPr>
  </w:style>
  <w:style w:type="character" w:styleId="817">
    <w:name w:val="endnote reference"/>
    <w:basedOn w:val="830"/>
    <w:uiPriority w:val="99"/>
    <w:semiHidden/>
    <w:unhideWhenUsed/>
    <w:rPr>
      <w:vertAlign w:val="superscript"/>
    </w:rPr>
  </w:style>
  <w:style w:type="paragraph" w:styleId="818">
    <w:name w:val="toc 1"/>
    <w:basedOn w:val="829"/>
    <w:next w:val="829"/>
    <w:uiPriority w:val="39"/>
    <w:unhideWhenUsed/>
    <w:pPr>
      <w:ind w:left="0" w:right="0" w:firstLine="0"/>
      <w:spacing w:after="57"/>
    </w:pPr>
  </w:style>
  <w:style w:type="paragraph" w:styleId="819">
    <w:name w:val="toc 2"/>
    <w:basedOn w:val="829"/>
    <w:next w:val="829"/>
    <w:uiPriority w:val="39"/>
    <w:unhideWhenUsed/>
    <w:pPr>
      <w:ind w:left="283" w:right="0" w:firstLine="0"/>
      <w:spacing w:after="57"/>
    </w:pPr>
  </w:style>
  <w:style w:type="paragraph" w:styleId="820">
    <w:name w:val="toc 3"/>
    <w:basedOn w:val="829"/>
    <w:next w:val="829"/>
    <w:uiPriority w:val="39"/>
    <w:unhideWhenUsed/>
    <w:pPr>
      <w:ind w:left="567" w:right="0" w:firstLine="0"/>
      <w:spacing w:after="57"/>
    </w:pPr>
  </w:style>
  <w:style w:type="paragraph" w:styleId="821">
    <w:name w:val="toc 4"/>
    <w:basedOn w:val="829"/>
    <w:next w:val="829"/>
    <w:uiPriority w:val="39"/>
    <w:unhideWhenUsed/>
    <w:pPr>
      <w:ind w:left="850" w:right="0" w:firstLine="0"/>
      <w:spacing w:after="57"/>
    </w:pPr>
  </w:style>
  <w:style w:type="paragraph" w:styleId="822">
    <w:name w:val="toc 5"/>
    <w:basedOn w:val="829"/>
    <w:next w:val="829"/>
    <w:uiPriority w:val="39"/>
    <w:unhideWhenUsed/>
    <w:pPr>
      <w:ind w:left="1134" w:right="0" w:firstLine="0"/>
      <w:spacing w:after="57"/>
    </w:pPr>
  </w:style>
  <w:style w:type="paragraph" w:styleId="823">
    <w:name w:val="toc 6"/>
    <w:basedOn w:val="829"/>
    <w:next w:val="829"/>
    <w:uiPriority w:val="39"/>
    <w:unhideWhenUsed/>
    <w:pPr>
      <w:ind w:left="1417" w:right="0" w:firstLine="0"/>
      <w:spacing w:after="57"/>
    </w:pPr>
  </w:style>
  <w:style w:type="paragraph" w:styleId="824">
    <w:name w:val="toc 7"/>
    <w:basedOn w:val="829"/>
    <w:next w:val="829"/>
    <w:uiPriority w:val="39"/>
    <w:unhideWhenUsed/>
    <w:pPr>
      <w:ind w:left="1701" w:right="0" w:firstLine="0"/>
      <w:spacing w:after="57"/>
    </w:pPr>
  </w:style>
  <w:style w:type="paragraph" w:styleId="825">
    <w:name w:val="toc 8"/>
    <w:basedOn w:val="829"/>
    <w:next w:val="829"/>
    <w:uiPriority w:val="39"/>
    <w:unhideWhenUsed/>
    <w:pPr>
      <w:ind w:left="1984" w:right="0" w:firstLine="0"/>
      <w:spacing w:after="57"/>
    </w:pPr>
  </w:style>
  <w:style w:type="paragraph" w:styleId="826">
    <w:name w:val="toc 9"/>
    <w:basedOn w:val="829"/>
    <w:next w:val="829"/>
    <w:uiPriority w:val="39"/>
    <w:unhideWhenUsed/>
    <w:pPr>
      <w:ind w:left="2268" w:right="0" w:firstLine="0"/>
      <w:spacing w:after="57"/>
    </w:pPr>
  </w:style>
  <w:style w:type="paragraph" w:styleId="827">
    <w:name w:val="TOC Heading"/>
    <w:uiPriority w:val="39"/>
    <w:unhideWhenUsed/>
  </w:style>
  <w:style w:type="paragraph" w:styleId="828">
    <w:name w:val="table of figures"/>
    <w:basedOn w:val="829"/>
    <w:next w:val="829"/>
    <w:uiPriority w:val="99"/>
    <w:unhideWhenUsed/>
    <w:pPr>
      <w:spacing w:after="0" w:afterAutospacing="0"/>
    </w:pPr>
  </w:style>
  <w:style w:type="paragraph" w:styleId="829" w:default="1">
    <w:name w:val="Normal"/>
    <w:qFormat/>
  </w:style>
  <w:style w:type="character" w:styleId="830" w:default="1">
    <w:name w:val="Default Paragraph Font"/>
    <w:uiPriority w:val="1"/>
    <w:semiHidden/>
    <w:unhideWhenUsed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Balloon Text"/>
    <w:basedOn w:val="829"/>
    <w:link w:val="83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4" w:customStyle="1">
    <w:name w:val="Текст выноски Знак"/>
    <w:basedOn w:val="830"/>
    <w:link w:val="833"/>
    <w:uiPriority w:val="99"/>
    <w:semiHidden/>
    <w:rPr>
      <w:rFonts w:ascii="Segoe UI" w:hAnsi="Segoe UI" w:cs="Segoe UI"/>
      <w:sz w:val="18"/>
      <w:szCs w:val="18"/>
    </w:rPr>
  </w:style>
  <w:style w:type="character" w:styleId="835">
    <w:name w:val="Hyperlink"/>
    <w:basedOn w:val="830"/>
    <w:uiPriority w:val="99"/>
    <w:unhideWhenUsed/>
    <w:rPr>
      <w:color w:val="0563c1" w:themeColor="hyperlink"/>
      <w:u w:val="single"/>
    </w:rPr>
  </w:style>
  <w:style w:type="paragraph" w:styleId="836">
    <w:name w:val="List Paragraph"/>
    <w:basedOn w:val="829"/>
    <w:uiPriority w:val="34"/>
    <w:qFormat/>
    <w:pPr>
      <w:contextualSpacing/>
      <w:ind w:left="720"/>
    </w:pPr>
  </w:style>
  <w:style w:type="table" w:styleId="837">
    <w:name w:val="Table Grid"/>
    <w:basedOn w:val="83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38" w:customStyle="1">
    <w:name w:val="object"/>
    <w:basedOn w:val="830"/>
  </w:style>
  <w:style w:type="paragraph" w:styleId="839">
    <w:name w:val="Normal (Web)"/>
    <w:basedOn w:val="829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zhilyaev</cp:lastModifiedBy>
  <cp:revision>40</cp:revision>
  <dcterms:created xsi:type="dcterms:W3CDTF">2022-05-25T09:41:00Z</dcterms:created>
  <dcterms:modified xsi:type="dcterms:W3CDTF">2026-09-02T01:38:01Z</dcterms:modified>
</cp:coreProperties>
</file>