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1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27 июня 2025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b/>
          <w:bCs/>
          <w:color w:val="000000"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</w:rPr>
        <w:t xml:space="preserve">В Иркутской области реализуется комплексный план по наполнению ЕГРН актуальными данными</w:t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color w:val="000000"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color w:val="000000"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Работа по внесению в Единый государственный реестр недвижимости (ЕГРН) сведений о границах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административно-территориальных образований, территориальных зон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 и границах иных объектов,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проводится в регионе в рамках реализации государственной программы «Национальная система пространственных данных».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В настоящее время доля внесенных в ЕГРН сведений о границах муниципальных образований, населенных пунктов и территориальных зон Иркутской области составляет 100%.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По результатам осуществляемого Управлением Росреестра по Иркутской области на постоянной основе мониторинга внесения в ЕГРН сведений о границах иных объектов реестра границ, в том числе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об объектах культурного наследия федерального, регионального и местного значения,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о границах территорий объектов культурного наследия федерального, регионального и местного значения,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о границах особо охраняемых природных территорий,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о границах зон затопления и подтопления на территории субъекта,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о границах округов санитарной (горно-санитарной) охраны лечебно-оздоровительных местностей, курортов и природных лечебных ресурсов, п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о состоянию на 1 июня 2025 года на территории Иркутской области в ЕГРН внесены сведения о:</w:t>
      </w:r>
      <w:r>
        <w:rPr>
          <w:rFonts w:ascii="Liberation Sans" w:hAnsi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</w:p>
    <w:p>
      <w:pPr>
        <w:pStyle w:val="840"/>
        <w:numPr>
          <w:ilvl w:val="0"/>
          <w:numId w:val="2"/>
        </w:numPr>
        <w:ind w:right="0"/>
        <w:jc w:val="both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98,65% границ особо охраняемых природных территорий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, </w:t>
      </w:r>
      <w:r/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</w:p>
    <w:p>
      <w:pPr>
        <w:pStyle w:val="840"/>
        <w:numPr>
          <w:ilvl w:val="0"/>
          <w:numId w:val="2"/>
        </w:numPr>
        <w:ind w:right="0"/>
        <w:jc w:val="both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95,45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%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 границ территорий объектов культурного наследия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, </w:t>
      </w:r>
      <w:r/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</w:p>
    <w:p>
      <w:pPr>
        <w:pStyle w:val="840"/>
        <w:numPr>
          <w:ilvl w:val="0"/>
          <w:numId w:val="2"/>
        </w:numPr>
        <w:ind w:right="0"/>
        <w:jc w:val="both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88,88%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границ округов санитарной (горно-санитарной) охраны лечебно-оздоровительных местностей, курортов и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 природных лечебных ресурсов</w:t>
      </w:r>
      <w:r/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,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</w:p>
    <w:p>
      <w:pPr>
        <w:pStyle w:val="840"/>
        <w:numPr>
          <w:ilvl w:val="0"/>
          <w:numId w:val="2"/>
        </w:numPr>
        <w:ind w:right="0"/>
        <w:jc w:val="both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87,75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%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 границ объектов культурного наследия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.</w:t>
      </w:r>
      <w:r>
        <w:rPr>
          <w:rFonts w:ascii="Liberation Sans" w:hAnsi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По словам исполняющей обязанности руководителя Управления Росреестра по Иркутской области Оксаны Викторовны Арсентьевой, актуальность данных 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о границах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, содержащихся в ЕГРН,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 позволяет обеспечить 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соблюдение законных прав граждан, сокращает число земельных споров и способствует развитию территорий.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color w:val="202122"/>
          <w:sz w:val="24"/>
          <w:szCs w:val="24"/>
          <w:shd w:val="clear" w:color="auto" w:fill="ffffff"/>
        </w:rPr>
      </w:pPr>
      <w:r>
        <w:rPr>
          <w:rFonts w:ascii="Liberation Sans" w:hAnsi="Liberation Sans" w:eastAsia="Liberation Sans" w:cs="Liberation Sans"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color w:val="202122"/>
          <w:sz w:val="24"/>
          <w:szCs w:val="24"/>
          <w:shd w:val="clear" w:color="auto" w:fill="ffffff"/>
        </w:rPr>
      </w:r>
    </w:p>
    <w:p>
      <w:pPr>
        <w:ind w:left="0" w:right="0" w:firstLine="0"/>
        <w:jc w:val="both"/>
        <w:spacing w:line="240" w:lineRule="auto"/>
        <w:tabs>
          <w:tab w:val="left" w:pos="567" w:leader="none"/>
        </w:tabs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pP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Пресс-служба Управления </w:t>
      </w: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Росреестра</w:t>
      </w: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 по Иркутской области</w:t>
      </w:r>
      <w:r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r>
    </w:p>
    <w:p>
      <w:pPr>
        <w:ind w:left="0" w:right="0" w:firstLine="0"/>
        <w:jc w:val="both"/>
        <w:spacing w:line="240" w:lineRule="auto"/>
        <w:tabs>
          <w:tab w:val="left" w:pos="567" w:leader="none"/>
        </w:tabs>
        <w:rPr>
          <w:rFonts w:ascii="Liberation Sans" w:hAnsi="Liberation Sans" w:cs="Liberation Sans"/>
          <w:bCs/>
          <w:i/>
          <w:color w:val="202122"/>
          <w:sz w:val="24"/>
          <w:szCs w:val="24"/>
        </w:rPr>
      </w:pP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bCs/>
          <w:i/>
          <w:color w:val="202122"/>
          <w:sz w:val="24"/>
          <w:szCs w:val="24"/>
        </w:rPr>
      </w:r>
      <w:r>
        <w:rPr>
          <w:rFonts w:ascii="Liberation Sans" w:hAnsi="Liberation Sans" w:cs="Liberation Sans"/>
          <w:bCs/>
          <w:i/>
          <w:color w:val="202122"/>
          <w:sz w:val="24"/>
          <w:szCs w:val="24"/>
        </w:rPr>
      </w:r>
    </w:p>
    <w:p>
      <w:pPr>
        <w:ind w:left="0" w:right="0" w:firstLine="0"/>
        <w:jc w:val="both"/>
        <w:spacing w:line="240" w:lineRule="auto"/>
        <w:tabs>
          <w:tab w:val="left" w:pos="567" w:leader="none"/>
        </w:tabs>
        <w:rPr>
          <w:rFonts w:ascii="Liberation Sans" w:hAnsi="Liberation Sans" w:cs="Liberation Sans"/>
          <w:bCs/>
          <w:i/>
          <w:color w:val="202122"/>
          <w:sz w:val="24"/>
          <w:szCs w:val="24"/>
        </w:rPr>
      </w:pP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highlight w:val="none"/>
          <w:shd w:val="clear" w:color="auto" w:fill="ffffff"/>
        </w:rPr>
      </w:r>
      <w:r>
        <w:rPr>
          <w:rFonts w:ascii="Liberation Sans" w:hAnsi="Liberation Sans" w:cs="Liberation Sans"/>
          <w:bCs/>
          <w:i/>
          <w:color w:val="202122"/>
          <w:sz w:val="24"/>
          <w:szCs w:val="24"/>
        </w:rPr>
      </w:r>
      <w:r>
        <w:rPr>
          <w:rFonts w:ascii="Liberation Sans" w:hAnsi="Liberation Sans" w:cs="Liberation Sans"/>
          <w:bCs/>
          <w:i/>
          <w:color w:val="202122"/>
          <w:sz w:val="24"/>
          <w:szCs w:val="24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lef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3"/>
    <w:next w:val="833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basedOn w:val="834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3"/>
    <w:next w:val="833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basedOn w:val="834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3"/>
    <w:next w:val="833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basedOn w:val="834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3"/>
    <w:next w:val="833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basedOn w:val="834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3"/>
    <w:next w:val="833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basedOn w:val="834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3"/>
    <w:next w:val="833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basedOn w:val="834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3"/>
    <w:next w:val="833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basedOn w:val="834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3"/>
    <w:next w:val="833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basedOn w:val="834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3"/>
    <w:next w:val="833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basedOn w:val="834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No Spacing"/>
    <w:uiPriority w:val="1"/>
    <w:qFormat/>
    <w:pPr>
      <w:spacing w:before="0" w:after="0" w:line="240" w:lineRule="auto"/>
    </w:pPr>
  </w:style>
  <w:style w:type="paragraph" w:styleId="677">
    <w:name w:val="Title"/>
    <w:basedOn w:val="833"/>
    <w:next w:val="833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basedOn w:val="834"/>
    <w:link w:val="677"/>
    <w:uiPriority w:val="10"/>
    <w:rPr>
      <w:sz w:val="48"/>
      <w:szCs w:val="48"/>
    </w:rPr>
  </w:style>
  <w:style w:type="paragraph" w:styleId="679">
    <w:name w:val="Subtitle"/>
    <w:basedOn w:val="833"/>
    <w:next w:val="833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basedOn w:val="834"/>
    <w:link w:val="679"/>
    <w:uiPriority w:val="11"/>
    <w:rPr>
      <w:sz w:val="24"/>
      <w:szCs w:val="24"/>
    </w:rPr>
  </w:style>
  <w:style w:type="paragraph" w:styleId="681">
    <w:name w:val="Quote"/>
    <w:basedOn w:val="833"/>
    <w:next w:val="833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3"/>
    <w:next w:val="833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basedOn w:val="834"/>
    <w:link w:val="685"/>
    <w:uiPriority w:val="99"/>
  </w:style>
  <w:style w:type="paragraph" w:styleId="687">
    <w:name w:val="Footer"/>
    <w:basedOn w:val="833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basedOn w:val="834"/>
    <w:link w:val="687"/>
    <w:uiPriority w:val="99"/>
  </w:style>
  <w:style w:type="paragraph" w:styleId="689">
    <w:name w:val="Caption"/>
    <w:basedOn w:val="833"/>
    <w:next w:val="8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689"/>
    <w:link w:val="687"/>
    <w:uiPriority w:val="99"/>
  </w:style>
  <w:style w:type="table" w:styleId="691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Balloon Text"/>
    <w:basedOn w:val="833"/>
    <w:link w:val="83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8" w:customStyle="1">
    <w:name w:val="Текст выноски Знак"/>
    <w:basedOn w:val="834"/>
    <w:link w:val="837"/>
    <w:uiPriority w:val="99"/>
    <w:semiHidden/>
    <w:rPr>
      <w:rFonts w:ascii="Segoe UI" w:hAnsi="Segoe UI" w:cs="Segoe UI"/>
      <w:sz w:val="18"/>
      <w:szCs w:val="18"/>
    </w:rPr>
  </w:style>
  <w:style w:type="character" w:styleId="839">
    <w:name w:val="Hyperlink"/>
    <w:basedOn w:val="834"/>
    <w:uiPriority w:val="99"/>
    <w:unhideWhenUsed/>
    <w:rPr>
      <w:color w:val="0563c1" w:themeColor="hyperlink"/>
      <w:u w:val="single"/>
    </w:rPr>
  </w:style>
  <w:style w:type="paragraph" w:styleId="840">
    <w:name w:val="List Paragraph"/>
    <w:basedOn w:val="833"/>
    <w:uiPriority w:val="34"/>
    <w:qFormat/>
    <w:pPr>
      <w:contextualSpacing/>
      <w:ind w:left="720"/>
    </w:pPr>
  </w:style>
  <w:style w:type="table" w:styleId="841">
    <w:name w:val="Table Grid"/>
    <w:basedOn w:val="83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2" w:customStyle="1">
    <w:name w:val="object"/>
    <w:basedOn w:val="834"/>
  </w:style>
  <w:style w:type="paragraph" w:styleId="843">
    <w:name w:val="Normal (Web)"/>
    <w:basedOn w:val="83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34</cp:revision>
  <dcterms:created xsi:type="dcterms:W3CDTF">2022-05-25T09:41:00Z</dcterms:created>
  <dcterms:modified xsi:type="dcterms:W3CDTF">2025-06-27T01:05:15Z</dcterms:modified>
</cp:coreProperties>
</file>