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12745" cy="618490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6244832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912744" cy="6184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29.35pt;height:48.7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/>
    </w:p>
    <w:p>
      <w:pPr>
        <w:contextualSpacing/>
        <w:jc w:val="center"/>
        <w:spacing w:line="240" w:lineRule="auto"/>
        <w:rPr>
          <w:rFonts w:ascii="Tinos" w:hAnsi="Tinos" w:cs="Tinos"/>
          <w:b/>
          <w:bCs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32"/>
          <w:szCs w:val="32"/>
        </w:rPr>
        <w:t xml:space="preserve">Филиал 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ППК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 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«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Роскадастр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»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 по Иркутской области поможет оформить гараж в собственность</w:t>
      </w:r>
      <w:r>
        <w:rPr>
          <w:rFonts w:ascii="Tinos" w:hAnsi="Tinos" w:cs="Tinos"/>
          <w:b/>
          <w:bCs/>
          <w:sz w:val="32"/>
          <w:szCs w:val="32"/>
        </w:rPr>
      </w:r>
      <w:r>
        <w:rPr>
          <w:rFonts w:ascii="Tinos" w:hAnsi="Tinos" w:cs="Tinos"/>
          <w:b/>
          <w:bCs/>
          <w:sz w:val="32"/>
          <w:szCs w:val="32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Многие жители Иркутской области пользуются гаражами, построенными </w:t>
      </w:r>
      <w:r>
        <w:rPr>
          <w:rFonts w:ascii="Tinos" w:hAnsi="Tinos" w:eastAsia="Tinos" w:cs="Tinos"/>
          <w:sz w:val="28"/>
          <w:szCs w:val="28"/>
        </w:rPr>
        <w:t xml:space="preserve">еще</w:t>
      </w:r>
      <w:r>
        <w:rPr>
          <w:rFonts w:ascii="Tinos" w:hAnsi="Tinos" w:eastAsia="Tinos" w:cs="Tinos"/>
          <w:sz w:val="28"/>
          <w:szCs w:val="28"/>
        </w:rPr>
        <w:t xml:space="preserve"> в советское вре</w:t>
      </w:r>
      <w:r>
        <w:rPr>
          <w:rFonts w:ascii="Tinos" w:hAnsi="Tinos" w:eastAsia="Tinos" w:cs="Tinos"/>
          <w:sz w:val="28"/>
          <w:szCs w:val="28"/>
        </w:rPr>
        <w:t xml:space="preserve">мя или в 90-е годы, не имея на руках никаких документов. Такая недвижимость «висит в воздухе»: её нельзя официально продать, подарить или передать по наследству. Хорошая новость заключается в том, что у граждан ещё есть время легализовать свои постройки в </w:t>
      </w:r>
      <w:r>
        <w:rPr>
          <w:rFonts w:ascii="Tinos" w:hAnsi="Tinos" w:eastAsia="Tinos" w:cs="Tinos"/>
          <w:sz w:val="28"/>
          <w:szCs w:val="28"/>
        </w:rPr>
        <w:t xml:space="preserve">упрощенном</w:t>
      </w:r>
      <w:r>
        <w:rPr>
          <w:rFonts w:ascii="Tinos" w:hAnsi="Tinos" w:eastAsia="Tinos" w:cs="Tinos"/>
          <w:sz w:val="28"/>
          <w:szCs w:val="28"/>
        </w:rPr>
        <w:t xml:space="preserve"> порядке — действие «гаражной амнистии» продлено.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«Гаражная амнистия» (Федеральный закон</w:t>
      </w:r>
      <w:r>
        <w:rPr>
          <w:rFonts w:ascii="Tinos" w:hAnsi="Tinos" w:eastAsia="Tinos" w:cs="Tinos"/>
          <w:sz w:val="28"/>
          <w:szCs w:val="28"/>
        </w:rPr>
        <w:t xml:space="preserve"> от </w:t>
      </w:r>
      <w:r>
        <w:rPr>
          <w:rFonts w:ascii="Tinos" w:hAnsi="Tinos" w:eastAsia="Tinos" w:cs="Tinos"/>
          <w:sz w:val="28"/>
          <w:szCs w:val="28"/>
        </w:rPr>
        <w:t xml:space="preserve">05.04.2021</w:t>
      </w:r>
      <w:r>
        <w:rPr>
          <w:rFonts w:ascii="Tinos" w:hAnsi="Tinos" w:eastAsia="Tinos" w:cs="Tinos"/>
          <w:sz w:val="28"/>
          <w:szCs w:val="28"/>
        </w:rPr>
        <w:t xml:space="preserve"> № </w:t>
      </w:r>
      <w:r>
        <w:rPr>
          <w:rFonts w:ascii="Tinos" w:hAnsi="Tinos" w:eastAsia="Tinos" w:cs="Tinos"/>
          <w:sz w:val="28"/>
          <w:szCs w:val="28"/>
        </w:rPr>
        <w:t xml:space="preserve">79-ФЗ) — это специальный </w:t>
      </w:r>
      <w:r>
        <w:rPr>
          <w:rFonts w:ascii="Tinos" w:hAnsi="Tinos" w:eastAsia="Tinos" w:cs="Tinos"/>
          <w:sz w:val="28"/>
          <w:szCs w:val="28"/>
        </w:rPr>
        <w:t xml:space="preserve">упрощенный</w:t>
      </w:r>
      <w:r>
        <w:rPr>
          <w:rFonts w:ascii="Tinos" w:hAnsi="Tinos" w:eastAsia="Tinos" w:cs="Tinos"/>
          <w:sz w:val="28"/>
          <w:szCs w:val="28"/>
        </w:rPr>
        <w:t xml:space="preserve"> ме</w:t>
      </w:r>
      <w:r>
        <w:rPr>
          <w:rFonts w:ascii="Tinos" w:hAnsi="Tinos" w:eastAsia="Tinos" w:cs="Tinos"/>
          <w:sz w:val="28"/>
          <w:szCs w:val="28"/>
        </w:rPr>
        <w:t xml:space="preserve">ханизм оформления прав на гаражи и землю под ними. Он был запущен, чтобы помочь узаконить «гаражную недвижимость» миллионам граждан по всей стране. Изначально закон действовал до 1 сентября 2026 года, однако теперь сроки сдвинуты – до 1 сентября 2031 года.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С</w:t>
      </w:r>
      <w:r>
        <w:rPr>
          <w:rFonts w:ascii="Tinos" w:hAnsi="Tinos" w:eastAsia="Tinos" w:cs="Tinos"/>
          <w:sz w:val="28"/>
          <w:szCs w:val="28"/>
        </w:rPr>
        <w:t xml:space="preserve">уть амнистии: чтобы стать полноправным собственником, не нужно выкупать землю у государства, если гараж является капитальным, не считается самовольной  постройкой и был построен до 29 декабря 2004 года (до введения в действие Градостроительного кодекса Р</w:t>
      </w:r>
      <w:r>
        <w:rPr>
          <w:rFonts w:ascii="Tinos" w:hAnsi="Tinos" w:eastAsia="Tinos" w:cs="Tinos"/>
          <w:sz w:val="28"/>
          <w:szCs w:val="28"/>
        </w:rPr>
        <w:t xml:space="preserve">оссийской </w:t>
      </w:r>
      <w:r>
        <w:rPr>
          <w:rFonts w:ascii="Tinos" w:hAnsi="Tinos" w:eastAsia="Tinos" w:cs="Tinos"/>
          <w:sz w:val="28"/>
          <w:szCs w:val="28"/>
        </w:rPr>
        <w:t xml:space="preserve">Ф</w:t>
      </w:r>
      <w:r>
        <w:rPr>
          <w:rFonts w:ascii="Tinos" w:hAnsi="Tinos" w:eastAsia="Tinos" w:cs="Tinos"/>
          <w:sz w:val="28"/>
          <w:szCs w:val="28"/>
        </w:rPr>
        <w:t xml:space="preserve">едераци</w:t>
      </w:r>
      <w:r>
        <w:rPr>
          <w:rFonts w:ascii="Tinos" w:hAnsi="Tinos" w:eastAsia="Tinos" w:cs="Tinos"/>
          <w:sz w:val="28"/>
          <w:szCs w:val="28"/>
        </w:rPr>
        <w:t xml:space="preserve">и</w:t>
      </w:r>
      <w:r>
        <w:rPr>
          <w:rFonts w:ascii="Tinos" w:hAnsi="Tinos" w:eastAsia="Tinos" w:cs="Tinos"/>
          <w:sz w:val="28"/>
          <w:szCs w:val="28"/>
        </w:rPr>
        <w:t xml:space="preserve">). Достаточно подать заявление и приложить любой документ, подтверждающий, что </w:t>
      </w:r>
      <w:r>
        <w:rPr>
          <w:rFonts w:ascii="Tinos" w:hAnsi="Tinos" w:eastAsia="Tinos" w:cs="Tinos"/>
          <w:sz w:val="28"/>
          <w:szCs w:val="28"/>
        </w:rPr>
        <w:t xml:space="preserve">человек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пользовал</w:t>
      </w:r>
      <w:r>
        <w:rPr>
          <w:rFonts w:ascii="Tinos" w:hAnsi="Tinos" w:eastAsia="Tinos" w:cs="Tinos"/>
          <w:sz w:val="28"/>
          <w:szCs w:val="28"/>
        </w:rPr>
        <w:t xml:space="preserve">ся</w:t>
      </w:r>
      <w:r>
        <w:rPr>
          <w:rFonts w:ascii="Tinos" w:hAnsi="Tinos" w:eastAsia="Tinos" w:cs="Tinos"/>
          <w:sz w:val="28"/>
          <w:szCs w:val="28"/>
        </w:rPr>
        <w:t xml:space="preserve"> этим гаражом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Специалисты филиала ППК «Роскадастр» по Иркутской области выполнят ключевую техническую часть работы, без которой амнистия невозможна: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1. Подготовят технический план. Чтобы поставить гараж на кадастровый </w:t>
      </w:r>
      <w:r>
        <w:rPr>
          <w:rFonts w:ascii="Tinos" w:hAnsi="Tinos" w:eastAsia="Tinos" w:cs="Tinos"/>
          <w:sz w:val="28"/>
          <w:szCs w:val="28"/>
        </w:rPr>
        <w:t xml:space="preserve">учет</w:t>
      </w:r>
      <w:r>
        <w:rPr>
          <w:rFonts w:ascii="Tinos" w:hAnsi="Tinos" w:eastAsia="Tinos" w:cs="Tinos"/>
          <w:sz w:val="28"/>
          <w:szCs w:val="28"/>
        </w:rPr>
        <w:t xml:space="preserve">, нужен тех</w:t>
      </w:r>
      <w:r>
        <w:rPr>
          <w:rFonts w:ascii="Tinos" w:hAnsi="Tinos" w:eastAsia="Tinos" w:cs="Tinos"/>
          <w:sz w:val="28"/>
          <w:szCs w:val="28"/>
        </w:rPr>
        <w:t xml:space="preserve">нический </w:t>
      </w:r>
      <w:r>
        <w:rPr>
          <w:rFonts w:ascii="Tinos" w:hAnsi="Tinos" w:eastAsia="Tinos" w:cs="Tinos"/>
          <w:sz w:val="28"/>
          <w:szCs w:val="28"/>
        </w:rPr>
        <w:t xml:space="preserve">план. Кадастровые инженеры </w:t>
      </w:r>
      <w:r>
        <w:rPr>
          <w:rFonts w:ascii="Tinos" w:hAnsi="Tinos" w:eastAsia="Tinos" w:cs="Tinos"/>
          <w:sz w:val="28"/>
          <w:szCs w:val="28"/>
        </w:rPr>
        <w:t xml:space="preserve">регионального Роскадастра</w:t>
      </w:r>
      <w:r>
        <w:rPr>
          <w:rFonts w:ascii="Tinos" w:hAnsi="Tinos" w:eastAsia="Tinos" w:cs="Tinos"/>
          <w:sz w:val="28"/>
          <w:szCs w:val="28"/>
        </w:rPr>
        <w:t xml:space="preserve"> выезжают на место, делают точные замеры и определяют координаты постройки.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2. Помогут с межеванием земли. Если земельный участок не стоит на </w:t>
      </w:r>
      <w:r>
        <w:rPr>
          <w:rFonts w:ascii="Tinos" w:hAnsi="Tinos" w:eastAsia="Tinos" w:cs="Tinos"/>
          <w:sz w:val="28"/>
          <w:szCs w:val="28"/>
        </w:rPr>
        <w:t xml:space="preserve">учете</w:t>
      </w:r>
      <w:r>
        <w:rPr>
          <w:rFonts w:ascii="Tinos" w:hAnsi="Tinos" w:eastAsia="Tinos" w:cs="Tinos"/>
          <w:sz w:val="28"/>
          <w:szCs w:val="28"/>
        </w:rPr>
        <w:t xml:space="preserve">, специалисты </w:t>
      </w:r>
      <w:r>
        <w:rPr>
          <w:rFonts w:ascii="Tinos" w:hAnsi="Tinos" w:eastAsia="Tinos" w:cs="Tinos"/>
          <w:sz w:val="28"/>
          <w:szCs w:val="28"/>
        </w:rPr>
        <w:t xml:space="preserve">Компании </w:t>
      </w:r>
      <w:r>
        <w:rPr>
          <w:rFonts w:ascii="Tinos" w:hAnsi="Tinos" w:eastAsia="Tinos" w:cs="Tinos"/>
          <w:sz w:val="28"/>
          <w:szCs w:val="28"/>
        </w:rPr>
        <w:t xml:space="preserve">помогут подготовить схему расположения участка на кадастровом плане территории, чтобы </w:t>
      </w:r>
      <w:r>
        <w:rPr>
          <w:rFonts w:ascii="Tinos" w:hAnsi="Tinos" w:eastAsia="Tinos" w:cs="Tinos"/>
          <w:sz w:val="28"/>
          <w:szCs w:val="28"/>
        </w:rPr>
        <w:t xml:space="preserve">можно было</w:t>
      </w:r>
      <w:r>
        <w:rPr>
          <w:rFonts w:ascii="Tinos" w:hAnsi="Tinos" w:eastAsia="Tinos" w:cs="Tinos"/>
          <w:sz w:val="28"/>
          <w:szCs w:val="28"/>
        </w:rPr>
        <w:t xml:space="preserve"> согласовать её в администрации.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3. Окажут консультационную и правовую поддержку. Специалисты регионального Роскадастра разъяснят, какие именно документы нужно собрать в конкретной ситуации, и куда обращаться дальше.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sz w:val="28"/>
          <w:szCs w:val="28"/>
        </w:rPr>
        <w:t xml:space="preserve">«Хотя сроки «гаражной амнистии» продлены, затягивать с оформлением не стоит. Зарегистрированное право на гараж и земельный участок под ним позволит продать, подарить или передать по наследству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такую недвижимость. А также защитит объект от сноса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 как самовольную постройку, если он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попадет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 в зону застройки или благоустройства»</w:t>
      </w:r>
      <w:r>
        <w:rPr>
          <w:rFonts w:ascii="Tinos" w:hAnsi="Tinos" w:eastAsia="Tinos" w:cs="Tinos"/>
          <w:sz w:val="28"/>
          <w:szCs w:val="28"/>
        </w:rPr>
        <w:t xml:space="preserve">, – поясняет заместитель директора филиала ППК «Роскадастр» по Иркутской области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Евгения Бутакова.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Филиал ППК «Роскадастр» по Иркутской области открыт для взаимодействия с гражданами. </w:t>
      </w:r>
      <w:r>
        <w:rPr>
          <w:rFonts w:ascii="Tinos" w:hAnsi="Tinos" w:eastAsia="Tinos" w:cs="Tinos"/>
          <w:sz w:val="28"/>
          <w:szCs w:val="28"/>
        </w:rPr>
        <w:t xml:space="preserve">Для реализации прав в рамках</w:t>
      </w:r>
      <w:r>
        <w:rPr>
          <w:rFonts w:ascii="Tinos" w:hAnsi="Tinos" w:eastAsia="Tinos" w:cs="Tinos"/>
          <w:sz w:val="28"/>
          <w:szCs w:val="28"/>
        </w:rPr>
        <w:t xml:space="preserve"> «гаражной амнисти</w:t>
      </w:r>
      <w:r>
        <w:rPr>
          <w:rFonts w:ascii="Tinos" w:hAnsi="Tinos" w:eastAsia="Tinos" w:cs="Tinos"/>
          <w:sz w:val="28"/>
          <w:szCs w:val="28"/>
        </w:rPr>
        <w:t xml:space="preserve">и</w:t>
      </w:r>
      <w:r>
        <w:rPr>
          <w:rFonts w:ascii="Tinos" w:hAnsi="Tinos" w:eastAsia="Tinos" w:cs="Tinos"/>
          <w:sz w:val="28"/>
          <w:szCs w:val="28"/>
        </w:rPr>
        <w:t xml:space="preserve">»</w:t>
      </w:r>
      <w:r>
        <w:rPr>
          <w:rFonts w:ascii="Tinos" w:hAnsi="Tinos" w:eastAsia="Tinos" w:cs="Tinos"/>
          <w:sz w:val="28"/>
          <w:szCs w:val="28"/>
        </w:rPr>
        <w:t xml:space="preserve">,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подготовки</w:t>
      </w:r>
      <w:r>
        <w:rPr>
          <w:rFonts w:ascii="Tinos" w:hAnsi="Tinos" w:eastAsia="Tinos" w:cs="Tinos"/>
          <w:sz w:val="28"/>
          <w:szCs w:val="28"/>
        </w:rPr>
        <w:t xml:space="preserve"> техническ</w:t>
      </w:r>
      <w:r>
        <w:rPr>
          <w:rFonts w:ascii="Tinos" w:hAnsi="Tinos" w:eastAsia="Tinos" w:cs="Tinos"/>
          <w:sz w:val="28"/>
          <w:szCs w:val="28"/>
        </w:rPr>
        <w:t xml:space="preserve">ого</w:t>
      </w:r>
      <w:r>
        <w:rPr>
          <w:rFonts w:ascii="Tinos" w:hAnsi="Tinos" w:eastAsia="Tinos" w:cs="Tinos"/>
          <w:sz w:val="28"/>
          <w:szCs w:val="28"/>
        </w:rPr>
        <w:t xml:space="preserve"> план</w:t>
      </w:r>
      <w:r>
        <w:rPr>
          <w:rFonts w:ascii="Tinos" w:hAnsi="Tinos" w:eastAsia="Tinos" w:cs="Tinos"/>
          <w:sz w:val="28"/>
          <w:szCs w:val="28"/>
        </w:rPr>
        <w:t xml:space="preserve">а</w:t>
      </w:r>
      <w:r>
        <w:rPr>
          <w:rFonts w:ascii="Tinos" w:hAnsi="Tinos" w:eastAsia="Tinos" w:cs="Tinos"/>
          <w:sz w:val="28"/>
          <w:szCs w:val="28"/>
        </w:rPr>
        <w:t xml:space="preserve"> или</w:t>
      </w:r>
      <w:r>
        <w:rPr>
          <w:rFonts w:ascii="Tinos" w:hAnsi="Tinos" w:eastAsia="Tinos" w:cs="Tinos"/>
          <w:sz w:val="28"/>
          <w:szCs w:val="28"/>
        </w:rPr>
        <w:t xml:space="preserve"> получения</w:t>
      </w:r>
      <w:r>
        <w:rPr>
          <w:rFonts w:ascii="Tinos" w:hAnsi="Tinos" w:eastAsia="Tinos" w:cs="Tinos"/>
          <w:sz w:val="28"/>
          <w:szCs w:val="28"/>
        </w:rPr>
        <w:t xml:space="preserve"> консультаци</w:t>
      </w:r>
      <w:r>
        <w:rPr>
          <w:rFonts w:ascii="Tinos" w:hAnsi="Tinos" w:eastAsia="Tinos" w:cs="Tinos"/>
          <w:sz w:val="28"/>
          <w:szCs w:val="28"/>
        </w:rPr>
        <w:t xml:space="preserve">и</w:t>
      </w:r>
      <w:r>
        <w:rPr>
          <w:rFonts w:ascii="Tinos" w:hAnsi="Tinos" w:eastAsia="Tinos" w:cs="Tinos"/>
          <w:sz w:val="28"/>
          <w:szCs w:val="28"/>
        </w:rPr>
        <w:t xml:space="preserve"> по земельному участку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обратиться</w:t>
      </w:r>
      <w:r>
        <w:rPr>
          <w:rFonts w:ascii="Tinos" w:hAnsi="Tinos" w:eastAsia="Tinos" w:cs="Tinos"/>
          <w:sz w:val="28"/>
          <w:szCs w:val="28"/>
        </w:rPr>
        <w:t xml:space="preserve"> можно</w:t>
      </w:r>
      <w:r>
        <w:rPr>
          <w:rFonts w:ascii="Tinos" w:hAnsi="Tinos" w:eastAsia="Tinos" w:cs="Tinos"/>
          <w:sz w:val="28"/>
          <w:szCs w:val="28"/>
        </w:rPr>
        <w:t xml:space="preserve"> в офисы регионального Роскадастра</w:t>
      </w:r>
      <w:r>
        <w:rPr>
          <w:rFonts w:ascii="Tinos" w:hAnsi="Tinos" w:eastAsia="Tinos" w:cs="Tinos"/>
          <w:sz w:val="28"/>
          <w:szCs w:val="28"/>
        </w:rPr>
        <w:t xml:space="preserve">: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eastAsia="Tinos" w:cs="Tino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- г. Иркутск, ул. Софьи Перовской, д. 30, 2 этаж, </w:t>
      </w:r>
      <w:r>
        <w:rPr>
          <w:rFonts w:ascii="Tinos" w:hAnsi="Tinos" w:eastAsia="Tinos" w:cs="Tinos"/>
          <w:sz w:val="28"/>
          <w:szCs w:val="28"/>
        </w:rPr>
        <w:t xml:space="preserve">каб</w:t>
      </w:r>
      <w:r>
        <w:rPr>
          <w:rFonts w:ascii="Tinos" w:hAnsi="Tinos" w:eastAsia="Tinos" w:cs="Tinos"/>
          <w:sz w:val="28"/>
          <w:szCs w:val="28"/>
        </w:rPr>
        <w:t xml:space="preserve">. № 203, </w:t>
      </w:r>
      <w:r>
        <w:rPr>
          <w:rFonts w:ascii="Tinos" w:hAnsi="Tinos" w:eastAsia="Tinos" w:cs="Tinos"/>
          <w:sz w:val="28"/>
          <w:szCs w:val="28"/>
        </w:rPr>
        <w:br/>
      </w:r>
      <w:r>
        <w:rPr>
          <w:rFonts w:ascii="Tinos" w:hAnsi="Tinos" w:eastAsia="Tinos" w:cs="Tinos"/>
          <w:sz w:val="28"/>
          <w:szCs w:val="28"/>
        </w:rPr>
        <w:t xml:space="preserve">тел.</w:t>
      </w:r>
      <w:r>
        <w:rPr>
          <w:rFonts w:ascii="Tinos" w:hAnsi="Tinos" w:eastAsia="Tinos" w:cs="Tinos"/>
          <w:sz w:val="28"/>
          <w:szCs w:val="28"/>
        </w:rPr>
        <w:t xml:space="preserve">:</w:t>
      </w:r>
      <w:r>
        <w:rPr>
          <w:rFonts w:ascii="Tinos" w:hAnsi="Tinos" w:eastAsia="Tinos" w:cs="Tinos"/>
          <w:sz w:val="28"/>
          <w:szCs w:val="28"/>
        </w:rPr>
        <w:t xml:space="preserve"> 8 (964) 220-20-03;</w:t>
      </w:r>
      <w:r>
        <w:rPr>
          <w:rFonts w:ascii="Tinos" w:hAnsi="Tinos" w:eastAsia="Tinos" w:cs="Tinos"/>
        </w:rPr>
      </w:r>
      <w:r>
        <w:rPr>
          <w:rFonts w:ascii="Tinos" w:hAnsi="Tinos" w:eastAsia="Tinos" w:cs="Tinos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eastAsia="Tinos" w:cs="Tino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- г. Ангарск, 103 кв-л, д. 1, </w:t>
      </w:r>
      <w:r>
        <w:rPr>
          <w:rFonts w:ascii="Tinos" w:hAnsi="Tinos" w:eastAsia="Tinos" w:cs="Tinos"/>
          <w:sz w:val="28"/>
          <w:szCs w:val="28"/>
        </w:rPr>
        <w:t xml:space="preserve">каб</w:t>
      </w:r>
      <w:r>
        <w:rPr>
          <w:rFonts w:ascii="Tinos" w:hAnsi="Tinos" w:eastAsia="Tinos" w:cs="Tinos"/>
          <w:sz w:val="28"/>
          <w:szCs w:val="28"/>
        </w:rPr>
        <w:t xml:space="preserve">. № 108, тел.</w:t>
      </w:r>
      <w:r>
        <w:rPr>
          <w:rFonts w:ascii="Tinos" w:hAnsi="Tinos" w:eastAsia="Tinos" w:cs="Tinos"/>
          <w:sz w:val="28"/>
          <w:szCs w:val="28"/>
        </w:rPr>
        <w:t xml:space="preserve">:</w:t>
      </w:r>
      <w:r>
        <w:rPr>
          <w:rFonts w:ascii="Tinos" w:hAnsi="Tinos" w:eastAsia="Tinos" w:cs="Tinos"/>
          <w:sz w:val="28"/>
          <w:szCs w:val="28"/>
        </w:rPr>
        <w:t xml:space="preserve"> 8 (964) 116-38-29;</w:t>
      </w:r>
      <w:r>
        <w:rPr>
          <w:rFonts w:ascii="Tinos" w:hAnsi="Tinos" w:eastAsia="Tinos" w:cs="Tinos"/>
        </w:rPr>
      </w:r>
      <w:r>
        <w:rPr>
          <w:rFonts w:ascii="Tinos" w:hAnsi="Tinos" w:eastAsia="Tinos" w:cs="Tinos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eastAsia="Tinos" w:cs="Tino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- г. Тулун, ул. Ленина, д. 22, тел.</w:t>
      </w:r>
      <w:r>
        <w:rPr>
          <w:rFonts w:ascii="Tinos" w:hAnsi="Tinos" w:eastAsia="Tinos" w:cs="Tinos"/>
          <w:sz w:val="28"/>
          <w:szCs w:val="28"/>
        </w:rPr>
        <w:t xml:space="preserve">:</w:t>
      </w:r>
      <w:r>
        <w:rPr>
          <w:rFonts w:ascii="Tinos" w:hAnsi="Tinos" w:eastAsia="Tinos" w:cs="Tinos"/>
          <w:sz w:val="28"/>
          <w:szCs w:val="28"/>
        </w:rPr>
        <w:t xml:space="preserve"> 8 (39530) 4-01-74;</w:t>
      </w:r>
      <w:r>
        <w:rPr>
          <w:rFonts w:ascii="Tinos" w:hAnsi="Tinos" w:eastAsia="Tinos" w:cs="Tinos"/>
        </w:rPr>
      </w:r>
      <w:r>
        <w:rPr>
          <w:rFonts w:ascii="Tinos" w:hAnsi="Tinos" w:eastAsia="Tinos" w:cs="Tinos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eastAsia="Tinos" w:cs="Tino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- г. Черемхово, ул. Ленина, д. 15, тел.</w:t>
      </w:r>
      <w:r>
        <w:rPr>
          <w:rFonts w:ascii="Tinos" w:hAnsi="Tinos" w:eastAsia="Tinos" w:cs="Tinos"/>
          <w:sz w:val="28"/>
          <w:szCs w:val="28"/>
        </w:rPr>
        <w:t xml:space="preserve">:</w:t>
      </w:r>
      <w:r>
        <w:rPr>
          <w:rFonts w:ascii="Tinos" w:hAnsi="Tinos" w:eastAsia="Tinos" w:cs="Tinos"/>
          <w:sz w:val="28"/>
          <w:szCs w:val="28"/>
        </w:rPr>
        <w:t xml:space="preserve"> 8 (39546) 5-10-29;</w:t>
      </w:r>
      <w:r>
        <w:rPr>
          <w:rFonts w:ascii="Tinos" w:hAnsi="Tinos" w:eastAsia="Tinos" w:cs="Tinos"/>
        </w:rPr>
      </w:r>
      <w:r>
        <w:rPr>
          <w:rFonts w:ascii="Tinos" w:hAnsi="Tinos" w:eastAsia="Tinos" w:cs="Tinos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eastAsia="Tinos" w:cs="Tino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- </w:t>
      </w:r>
      <w:r>
        <w:rPr>
          <w:rFonts w:ascii="Tinos" w:hAnsi="Tinos" w:eastAsia="Tinos" w:cs="Tinos"/>
          <w:sz w:val="28"/>
          <w:szCs w:val="28"/>
        </w:rPr>
        <w:t xml:space="preserve">р.п</w:t>
      </w:r>
      <w:r>
        <w:rPr>
          <w:rFonts w:ascii="Tinos" w:hAnsi="Tinos" w:eastAsia="Tinos" w:cs="Tinos"/>
          <w:sz w:val="28"/>
          <w:szCs w:val="28"/>
        </w:rPr>
        <w:t xml:space="preserve">. </w:t>
      </w:r>
      <w:r>
        <w:rPr>
          <w:rFonts w:ascii="Tinos" w:hAnsi="Tinos" w:eastAsia="Tinos" w:cs="Tinos"/>
          <w:sz w:val="28"/>
          <w:szCs w:val="28"/>
        </w:rPr>
        <w:t xml:space="preserve">Залари</w:t>
      </w:r>
      <w:r>
        <w:rPr>
          <w:rFonts w:ascii="Tinos" w:hAnsi="Tinos" w:eastAsia="Tinos" w:cs="Tinos"/>
          <w:sz w:val="28"/>
          <w:szCs w:val="28"/>
        </w:rPr>
        <w:t xml:space="preserve">, ул. Ленина, д. 76А, 2 этаж, </w:t>
      </w:r>
      <w:r>
        <w:rPr>
          <w:rFonts w:ascii="Tinos" w:hAnsi="Tinos" w:eastAsia="Tinos" w:cs="Tinos"/>
          <w:sz w:val="28"/>
          <w:szCs w:val="28"/>
        </w:rPr>
        <w:t xml:space="preserve">каб</w:t>
      </w:r>
      <w:r>
        <w:rPr>
          <w:rFonts w:ascii="Tinos" w:hAnsi="Tinos" w:eastAsia="Tinos" w:cs="Tinos"/>
          <w:sz w:val="28"/>
          <w:szCs w:val="28"/>
        </w:rPr>
        <w:t xml:space="preserve">. 4, тел.</w:t>
      </w:r>
      <w:r>
        <w:rPr>
          <w:rFonts w:ascii="Tinos" w:hAnsi="Tinos" w:eastAsia="Tinos" w:cs="Tinos"/>
          <w:sz w:val="28"/>
          <w:szCs w:val="28"/>
        </w:rPr>
        <w:t xml:space="preserve">:</w:t>
      </w:r>
      <w:r>
        <w:rPr>
          <w:rFonts w:ascii="Tinos" w:hAnsi="Tinos" w:eastAsia="Tinos" w:cs="Tinos"/>
          <w:sz w:val="28"/>
          <w:szCs w:val="28"/>
        </w:rPr>
        <w:t xml:space="preserve"> 8 (39552) 2-18-73;</w:t>
      </w:r>
      <w:r>
        <w:rPr>
          <w:rFonts w:ascii="Tinos" w:hAnsi="Tinos" w:eastAsia="Tinos" w:cs="Tinos"/>
        </w:rPr>
      </w:r>
      <w:r>
        <w:rPr>
          <w:rFonts w:ascii="Tinos" w:hAnsi="Tinos" w:eastAsia="Tinos" w:cs="Tinos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eastAsia="Tinos" w:cs="Tino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- г. Зима, </w:t>
      </w:r>
      <w:r>
        <w:rPr>
          <w:rFonts w:ascii="Tinos" w:hAnsi="Tinos" w:eastAsia="Tinos" w:cs="Tinos"/>
          <w:sz w:val="28"/>
          <w:szCs w:val="28"/>
        </w:rPr>
        <w:t xml:space="preserve">мкр</w:t>
      </w:r>
      <w:r>
        <w:rPr>
          <w:rFonts w:ascii="Tinos" w:hAnsi="Tinos" w:eastAsia="Tinos" w:cs="Tinos"/>
          <w:sz w:val="28"/>
          <w:szCs w:val="28"/>
        </w:rPr>
        <w:t xml:space="preserve">-он Ангарский, д. 18, тел.</w:t>
      </w:r>
      <w:r>
        <w:rPr>
          <w:rFonts w:ascii="Tinos" w:hAnsi="Tinos" w:eastAsia="Tinos" w:cs="Tinos"/>
          <w:sz w:val="28"/>
          <w:szCs w:val="28"/>
        </w:rPr>
        <w:t xml:space="preserve">:</w:t>
      </w:r>
      <w:r>
        <w:rPr>
          <w:rFonts w:ascii="Tinos" w:hAnsi="Tinos" w:eastAsia="Tinos" w:cs="Tinos"/>
          <w:sz w:val="28"/>
          <w:szCs w:val="28"/>
        </w:rPr>
        <w:t xml:space="preserve"> 8 (39554) 3-26-29. </w:t>
      </w:r>
      <w:r>
        <w:rPr>
          <w:rFonts w:ascii="Tinos" w:hAnsi="Tinos" w:eastAsia="Tinos" w:cs="Tinos"/>
        </w:rPr>
      </w:r>
      <w:r>
        <w:rPr>
          <w:rFonts w:ascii="Tinos" w:hAnsi="Tinos" w:eastAsia="Tinos" w:cs="Tinos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erif">
    <w:panose1 w:val="020206030504050203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682"/>
    <w:link w:val="673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682"/>
    <w:link w:val="674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character" w:styleId="663">
    <w:name w:val="Title Char"/>
    <w:basedOn w:val="682"/>
    <w:link w:val="694"/>
    <w:uiPriority w:val="10"/>
    <w:rPr>
      <w:sz w:val="48"/>
      <w:szCs w:val="48"/>
    </w:rPr>
  </w:style>
  <w:style w:type="character" w:styleId="664">
    <w:name w:val="Subtitle Char"/>
    <w:basedOn w:val="682"/>
    <w:link w:val="696"/>
    <w:uiPriority w:val="11"/>
    <w:rPr>
      <w:sz w:val="24"/>
      <w:szCs w:val="24"/>
    </w:rPr>
  </w:style>
  <w:style w:type="character" w:styleId="665">
    <w:name w:val="Quote Char"/>
    <w:link w:val="698"/>
    <w:uiPriority w:val="29"/>
    <w:rPr>
      <w:i/>
    </w:rPr>
  </w:style>
  <w:style w:type="character" w:styleId="666">
    <w:name w:val="Intense Quote Char"/>
    <w:link w:val="700"/>
    <w:uiPriority w:val="30"/>
    <w:rPr>
      <w:i/>
    </w:rPr>
  </w:style>
  <w:style w:type="character" w:styleId="667">
    <w:name w:val="Header Char"/>
    <w:basedOn w:val="682"/>
    <w:link w:val="702"/>
    <w:uiPriority w:val="99"/>
  </w:style>
  <w:style w:type="character" w:styleId="668">
    <w:name w:val="Footer Char"/>
    <w:basedOn w:val="682"/>
    <w:link w:val="704"/>
    <w:uiPriority w:val="99"/>
  </w:style>
  <w:style w:type="character" w:styleId="669">
    <w:name w:val="Caption Char"/>
    <w:basedOn w:val="682"/>
    <w:link w:val="706"/>
    <w:uiPriority w:val="35"/>
    <w:rPr>
      <w:b/>
      <w:bCs/>
      <w:color w:val="4f81bd" w:themeColor="accent1"/>
      <w:sz w:val="18"/>
      <w:szCs w:val="18"/>
    </w:rPr>
  </w:style>
  <w:style w:type="character" w:styleId="670">
    <w:name w:val="Footnote Text Char"/>
    <w:link w:val="835"/>
    <w:uiPriority w:val="99"/>
    <w:rPr>
      <w:sz w:val="18"/>
    </w:rPr>
  </w:style>
  <w:style w:type="character" w:styleId="671">
    <w:name w:val="Endnote Text Char"/>
    <w:link w:val="838"/>
    <w:uiPriority w:val="99"/>
    <w:rPr>
      <w:sz w:val="20"/>
    </w:rPr>
  </w:style>
  <w:style w:type="paragraph" w:styleId="672" w:default="1">
    <w:name w:val="Normal"/>
    <w:qFormat/>
  </w:style>
  <w:style w:type="paragraph" w:styleId="673">
    <w:name w:val="Heading 1"/>
    <w:basedOn w:val="672"/>
    <w:next w:val="672"/>
    <w:link w:val="685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4">
    <w:name w:val="Heading 2"/>
    <w:basedOn w:val="672"/>
    <w:next w:val="672"/>
    <w:link w:val="686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75">
    <w:name w:val="Heading 3"/>
    <w:basedOn w:val="672"/>
    <w:next w:val="672"/>
    <w:link w:val="687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672"/>
    <w:next w:val="672"/>
    <w:link w:val="688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672"/>
    <w:next w:val="672"/>
    <w:link w:val="689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672"/>
    <w:next w:val="672"/>
    <w:link w:val="690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79">
    <w:name w:val="Heading 7"/>
    <w:basedOn w:val="672"/>
    <w:next w:val="672"/>
    <w:link w:val="691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0">
    <w:name w:val="Heading 8"/>
    <w:basedOn w:val="672"/>
    <w:next w:val="672"/>
    <w:link w:val="692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1">
    <w:name w:val="Heading 9"/>
    <w:basedOn w:val="672"/>
    <w:next w:val="672"/>
    <w:link w:val="69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character" w:styleId="685" w:customStyle="1">
    <w:name w:val="Заголовок 1 Знак"/>
    <w:link w:val="673"/>
    <w:uiPriority w:val="9"/>
    <w:rPr>
      <w:rFonts w:ascii="Arial" w:hAnsi="Arial" w:eastAsia="Arial" w:cs="Arial"/>
      <w:sz w:val="40"/>
      <w:szCs w:val="40"/>
    </w:rPr>
  </w:style>
  <w:style w:type="character" w:styleId="686" w:customStyle="1">
    <w:name w:val="Заголовок 2 Знак"/>
    <w:link w:val="674"/>
    <w:uiPriority w:val="9"/>
    <w:rPr>
      <w:rFonts w:ascii="Arial" w:hAnsi="Arial" w:eastAsia="Arial" w:cs="Arial"/>
      <w:sz w:val="34"/>
    </w:rPr>
  </w:style>
  <w:style w:type="character" w:styleId="687" w:customStyle="1">
    <w:name w:val="Заголовок 3 Знак"/>
    <w:link w:val="675"/>
    <w:uiPriority w:val="9"/>
    <w:rPr>
      <w:rFonts w:ascii="Arial" w:hAnsi="Arial" w:eastAsia="Arial" w:cs="Arial"/>
      <w:sz w:val="30"/>
      <w:szCs w:val="30"/>
    </w:rPr>
  </w:style>
  <w:style w:type="character" w:styleId="688" w:customStyle="1">
    <w:name w:val="Заголовок 4 Знак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Заголовок 5 Знак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Заголовок 6 Знак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Заголовок 7 Знак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Заголовок 8 Знак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Заголовок 9 Знак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672"/>
    <w:next w:val="672"/>
    <w:link w:val="695"/>
    <w:uiPriority w:val="10"/>
    <w:qFormat/>
    <w:pPr>
      <w:contextualSpacing/>
      <w:spacing w:before="300"/>
    </w:pPr>
    <w:rPr>
      <w:sz w:val="48"/>
      <w:szCs w:val="48"/>
    </w:rPr>
  </w:style>
  <w:style w:type="character" w:styleId="695" w:customStyle="1">
    <w:name w:val="Заголовок Знак"/>
    <w:link w:val="694"/>
    <w:uiPriority w:val="10"/>
    <w:rPr>
      <w:sz w:val="48"/>
      <w:szCs w:val="48"/>
    </w:rPr>
  </w:style>
  <w:style w:type="paragraph" w:styleId="696">
    <w:name w:val="Subtitle"/>
    <w:basedOn w:val="672"/>
    <w:next w:val="672"/>
    <w:link w:val="697"/>
    <w:uiPriority w:val="11"/>
    <w:qFormat/>
    <w:pPr>
      <w:spacing w:before="200"/>
    </w:pPr>
    <w:rPr>
      <w:sz w:val="24"/>
      <w:szCs w:val="24"/>
    </w:rPr>
  </w:style>
  <w:style w:type="character" w:styleId="697" w:customStyle="1">
    <w:name w:val="Подзаголовок Знак"/>
    <w:link w:val="696"/>
    <w:uiPriority w:val="11"/>
    <w:rPr>
      <w:sz w:val="24"/>
      <w:szCs w:val="24"/>
    </w:rPr>
  </w:style>
  <w:style w:type="paragraph" w:styleId="698">
    <w:name w:val="Quote"/>
    <w:basedOn w:val="672"/>
    <w:next w:val="672"/>
    <w:link w:val="699"/>
    <w:uiPriority w:val="29"/>
    <w:qFormat/>
    <w:pPr>
      <w:ind w:left="720" w:right="720"/>
    </w:pPr>
    <w:rPr>
      <w:i/>
    </w:rPr>
  </w:style>
  <w:style w:type="character" w:styleId="699" w:customStyle="1">
    <w:name w:val="Цитата 2 Знак"/>
    <w:link w:val="698"/>
    <w:uiPriority w:val="29"/>
    <w:rPr>
      <w:i/>
    </w:rPr>
  </w:style>
  <w:style w:type="paragraph" w:styleId="700">
    <w:name w:val="Intense Quote"/>
    <w:basedOn w:val="672"/>
    <w:next w:val="672"/>
    <w:link w:val="70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 w:customStyle="1">
    <w:name w:val="Выделенная цитата Знак"/>
    <w:link w:val="700"/>
    <w:uiPriority w:val="30"/>
    <w:rPr>
      <w:i/>
    </w:rPr>
  </w:style>
  <w:style w:type="paragraph" w:styleId="702">
    <w:name w:val="Header"/>
    <w:basedOn w:val="67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 w:customStyle="1">
    <w:name w:val="Верхний колонтитул Знак"/>
    <w:link w:val="702"/>
    <w:uiPriority w:val="99"/>
  </w:style>
  <w:style w:type="paragraph" w:styleId="704">
    <w:name w:val="Footer"/>
    <w:basedOn w:val="67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 w:customStyle="1">
    <w:name w:val="Нижний колонтитул Знак"/>
    <w:link w:val="704"/>
    <w:uiPriority w:val="99"/>
  </w:style>
  <w:style w:type="paragraph" w:styleId="706">
    <w:name w:val="Caption"/>
    <w:basedOn w:val="672"/>
    <w:next w:val="672"/>
    <w:link w:val="707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07" w:customStyle="1">
    <w:name w:val="Название объекта Знак"/>
    <w:link w:val="706"/>
    <w:uiPriority w:val="35"/>
    <w:rPr>
      <w:b/>
      <w:bCs/>
      <w:color w:val="5b9bd5" w:themeColor="accent1"/>
      <w:sz w:val="18"/>
      <w:szCs w:val="18"/>
    </w:rPr>
  </w:style>
  <w:style w:type="table" w:styleId="708">
    <w:name w:val="Table Grid"/>
    <w:basedOn w:val="68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9" w:customStyle="1">
    <w:name w:val="Table Grid Light"/>
    <w:basedOn w:val="6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0">
    <w:name w:val="Plain Table 1"/>
    <w:basedOn w:val="6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68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 w:customStyle="1">
    <w:name w:val="Grid Table 4 - Accent 1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8" w:customStyle="1">
    <w:name w:val="Grid Table 4 - Accent 2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39" w:customStyle="1">
    <w:name w:val="Grid Table 4 - Accent 3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0" w:customStyle="1">
    <w:name w:val="Grid Table 4 - Accent 4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1" w:customStyle="1">
    <w:name w:val="Grid Table 4 - Accent 5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2" w:customStyle="1">
    <w:name w:val="Grid Table 4 - Accent 6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3">
    <w:name w:val="Grid Table 5 Dark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0">
    <w:name w:val="Grid Table 6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1" w:customStyle="1">
    <w:name w:val="Grid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2" w:customStyle="1">
    <w:name w:val="Grid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3" w:customStyle="1">
    <w:name w:val="Grid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4" w:customStyle="1">
    <w:name w:val="Grid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5" w:customStyle="1">
    <w:name w:val="Grid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6" w:customStyle="1">
    <w:name w:val="Grid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7">
    <w:name w:val="Grid Table 7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1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2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3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4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5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6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>
    <w:name w:val="List Table 6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0" w:customStyle="1">
    <w:name w:val="List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1" w:customStyle="1">
    <w:name w:val="List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2" w:customStyle="1">
    <w:name w:val="List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3" w:customStyle="1">
    <w:name w:val="List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4" w:customStyle="1">
    <w:name w:val="List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5" w:customStyle="1">
    <w:name w:val="List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6">
    <w:name w:val="List Table 7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ned - Accent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4" w:customStyle="1">
    <w:name w:val="Lined - Accent 1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5" w:customStyle="1">
    <w:name w:val="Lined - Accent 2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6" w:customStyle="1">
    <w:name w:val="Lined - Accent 3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7" w:customStyle="1">
    <w:name w:val="Lined - Accent 4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8" w:customStyle="1">
    <w:name w:val="Lined - Accent 5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9" w:customStyle="1">
    <w:name w:val="Lined - Accent 6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0" w:customStyle="1">
    <w:name w:val="Bordered &amp; Lined - Accent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Bordered &amp; Lined - Accent 1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2" w:customStyle="1">
    <w:name w:val="Bordered &amp; Lined - Accent 2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3" w:customStyle="1">
    <w:name w:val="Bordered &amp; Lined - Accent 3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4" w:customStyle="1">
    <w:name w:val="Bordered &amp; Lined - Accent 4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5" w:customStyle="1">
    <w:name w:val="Bordered &amp; Lined - Accent 5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6" w:customStyle="1">
    <w:name w:val="Bordered &amp; Lined - Accent 6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7" w:customStyle="1">
    <w:name w:val="Bordered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8" w:customStyle="1">
    <w:name w:val="Bordered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29" w:customStyle="1">
    <w:name w:val="Bordered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0" w:customStyle="1">
    <w:name w:val="Bordered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1" w:customStyle="1">
    <w:name w:val="Bordered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2" w:customStyle="1">
    <w:name w:val="Bordered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3" w:customStyle="1">
    <w:name w:val="Bordered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563c1" w:themeColor="hyperlink"/>
      <w:u w:val="single"/>
    </w:rPr>
  </w:style>
  <w:style w:type="paragraph" w:styleId="835">
    <w:name w:val="footnote text"/>
    <w:basedOn w:val="67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 w:customStyle="1">
    <w:name w:val="Текст сноски Знак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67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 w:customStyle="1">
    <w:name w:val="Текст концевой сноски Знак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672"/>
    <w:next w:val="672"/>
    <w:uiPriority w:val="39"/>
    <w:unhideWhenUsed/>
    <w:pPr>
      <w:spacing w:after="57"/>
    </w:pPr>
  </w:style>
  <w:style w:type="paragraph" w:styleId="842">
    <w:name w:val="toc 2"/>
    <w:basedOn w:val="672"/>
    <w:next w:val="672"/>
    <w:uiPriority w:val="39"/>
    <w:unhideWhenUsed/>
    <w:pPr>
      <w:ind w:left="283"/>
      <w:spacing w:after="57"/>
    </w:pPr>
  </w:style>
  <w:style w:type="paragraph" w:styleId="843">
    <w:name w:val="toc 3"/>
    <w:basedOn w:val="672"/>
    <w:next w:val="672"/>
    <w:uiPriority w:val="39"/>
    <w:unhideWhenUsed/>
    <w:pPr>
      <w:ind w:left="567"/>
      <w:spacing w:after="57"/>
    </w:pPr>
  </w:style>
  <w:style w:type="paragraph" w:styleId="844">
    <w:name w:val="toc 4"/>
    <w:basedOn w:val="672"/>
    <w:next w:val="672"/>
    <w:uiPriority w:val="39"/>
    <w:unhideWhenUsed/>
    <w:pPr>
      <w:ind w:left="850"/>
      <w:spacing w:after="57"/>
    </w:pPr>
  </w:style>
  <w:style w:type="paragraph" w:styleId="845">
    <w:name w:val="toc 5"/>
    <w:basedOn w:val="672"/>
    <w:next w:val="672"/>
    <w:uiPriority w:val="39"/>
    <w:unhideWhenUsed/>
    <w:pPr>
      <w:ind w:left="1134"/>
      <w:spacing w:after="57"/>
    </w:pPr>
  </w:style>
  <w:style w:type="paragraph" w:styleId="846">
    <w:name w:val="toc 6"/>
    <w:basedOn w:val="672"/>
    <w:next w:val="672"/>
    <w:uiPriority w:val="39"/>
    <w:unhideWhenUsed/>
    <w:pPr>
      <w:ind w:left="1417"/>
      <w:spacing w:after="57"/>
    </w:pPr>
  </w:style>
  <w:style w:type="paragraph" w:styleId="847">
    <w:name w:val="toc 7"/>
    <w:basedOn w:val="672"/>
    <w:next w:val="672"/>
    <w:uiPriority w:val="39"/>
    <w:unhideWhenUsed/>
    <w:pPr>
      <w:ind w:left="1701"/>
      <w:spacing w:after="57"/>
    </w:pPr>
  </w:style>
  <w:style w:type="paragraph" w:styleId="848">
    <w:name w:val="toc 8"/>
    <w:basedOn w:val="672"/>
    <w:next w:val="672"/>
    <w:uiPriority w:val="39"/>
    <w:unhideWhenUsed/>
    <w:pPr>
      <w:ind w:left="1984"/>
      <w:spacing w:after="57"/>
    </w:pPr>
  </w:style>
  <w:style w:type="paragraph" w:styleId="849">
    <w:name w:val="toc 9"/>
    <w:basedOn w:val="672"/>
    <w:next w:val="672"/>
    <w:uiPriority w:val="39"/>
    <w:unhideWhenUsed/>
    <w:pPr>
      <w:ind w:left="2268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672"/>
    <w:next w:val="672"/>
    <w:uiPriority w:val="99"/>
    <w:unhideWhenUsed/>
    <w:pPr>
      <w:spacing w:after="0"/>
    </w:pPr>
  </w:style>
  <w:style w:type="paragraph" w:styleId="852">
    <w:name w:val="No Spacing"/>
    <w:basedOn w:val="672"/>
    <w:uiPriority w:val="1"/>
    <w:qFormat/>
    <w:pPr>
      <w:spacing w:after="0" w:line="240" w:lineRule="auto"/>
    </w:pPr>
  </w:style>
  <w:style w:type="paragraph" w:styleId="853">
    <w:name w:val="List Paragraph"/>
    <w:basedOn w:val="672"/>
    <w:uiPriority w:val="34"/>
    <w:qFormat/>
    <w:pPr>
      <w:contextualSpacing/>
      <w:ind w:left="720"/>
    </w:pPr>
  </w:style>
  <w:style w:type="paragraph" w:styleId="854" w:customStyle="1">
    <w:name w:val="Красная строка2"/>
    <w:qFormat/>
    <w:pPr>
      <w:ind w:firstLine="709"/>
      <w:jc w:val="both"/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PT Astra Serif" w:hAnsi="PT Astra Serif" w:eastAsia="Times New Roman" w:cs="Times New Roman"/>
      <w:color w:val="000000"/>
      <w:sz w:val="28"/>
      <w:szCs w:val="20"/>
      <w:lang w:eastAsia="ru-RU"/>
    </w:rPr>
  </w:style>
  <w:style w:type="character" w:styleId="855" w:customStyle="1">
    <w:name w:val="Гиперссылка1"/>
    <w:qFormat/>
    <w:rPr>
      <w:rFonts w:ascii="Liberation Serif" w:hAnsi="Liberation Serif"/>
      <w:color w:val="000080"/>
      <w:sz w:val="24"/>
      <w:u w:val="single"/>
    </w:rPr>
  </w:style>
  <w:style w:type="paragraph" w:styleId="856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Юлия Михайловна</dc:creator>
  <cp:lastModifiedBy>senskaya_ea</cp:lastModifiedBy>
  <cp:revision>4</cp:revision>
  <dcterms:created xsi:type="dcterms:W3CDTF">2026-08-18T06:31:00Z</dcterms:created>
  <dcterms:modified xsi:type="dcterms:W3CDTF">2026-08-19T02:06:39Z</dcterms:modified>
</cp:coreProperties>
</file>